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CBA" w:rsidRPr="00004CBA" w:rsidRDefault="00004CBA" w:rsidP="00004CBA">
      <w:pPr>
        <w:jc w:val="center"/>
        <w:rPr>
          <w:b/>
          <w:sz w:val="36"/>
          <w:u w:val="single"/>
        </w:rPr>
      </w:pPr>
      <w:r w:rsidRPr="00004CBA">
        <w:rPr>
          <w:b/>
          <w:sz w:val="36"/>
          <w:u w:val="single"/>
        </w:rPr>
        <w:t>FICHE ASSAINISSEMENT</w:t>
      </w:r>
    </w:p>
    <w:p w:rsidR="00FE4121" w:rsidRDefault="00FE4121">
      <w:pPr>
        <w:rPr>
          <w:b/>
        </w:rPr>
      </w:pPr>
    </w:p>
    <w:p w:rsidR="00994A9E" w:rsidRPr="002F36E0" w:rsidRDefault="00FE4121">
      <w:pPr>
        <w:rPr>
          <w:b/>
          <w:sz w:val="28"/>
          <w:u w:val="single"/>
        </w:rPr>
      </w:pPr>
      <w:r w:rsidRPr="002F36E0">
        <w:rPr>
          <w:b/>
          <w:sz w:val="28"/>
          <w:u w:val="single"/>
        </w:rPr>
        <w:t>Pour assainissement collectif</w:t>
      </w:r>
    </w:p>
    <w:p w:rsidR="009B55B6" w:rsidRPr="009B55B6" w:rsidRDefault="009B55B6" w:rsidP="009B55B6">
      <w:r>
        <w:rPr>
          <w:b/>
        </w:rPr>
        <w:t xml:space="preserve">La commune dispose-t-elle d’un schéma directeur d’assainissement ? </w:t>
      </w:r>
    </w:p>
    <w:p w:rsidR="009B55B6" w:rsidRPr="00B30BCC" w:rsidRDefault="002F36E0" w:rsidP="009B55B6">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 xml:space="preserve">Oui </w:t>
      </w:r>
      <w:r w:rsidR="00C850B5" w:rsidRPr="00B30BCC">
        <w:rPr>
          <w:b/>
        </w:rPr>
        <w:t xml:space="preserve">– Schéma directeur établit Dossier 490-01 en 2007 </w:t>
      </w:r>
    </w:p>
    <w:p w:rsidR="009B55B6" w:rsidRDefault="009B55B6" w:rsidP="009B55B6"/>
    <w:p w:rsidR="001B6667" w:rsidRDefault="001B6667" w:rsidP="001B6667">
      <w:pPr>
        <w:rPr>
          <w:b/>
        </w:rPr>
      </w:pPr>
      <w:r w:rsidRPr="001B6667">
        <w:rPr>
          <w:b/>
        </w:rPr>
        <w:t>Le système d’assainissement a-t-il une capacité suffisante pour les besoins présents et futurs du territoire et des autres territoires qui y sont raccordés ? Quel est l'impact sur les rejets dans les milieux ?</w:t>
      </w:r>
    </w:p>
    <w:p w:rsidR="002F7780" w:rsidRPr="002F7780" w:rsidRDefault="002F7780" w:rsidP="001B6667">
      <w:pPr>
        <w:rPr>
          <w:b/>
          <w:i/>
        </w:rPr>
      </w:pPr>
      <w:r w:rsidRPr="002F7780">
        <w:rPr>
          <w:b/>
          <w:i/>
        </w:rPr>
        <w:t>Données de projets pour pouvoir évaluer si la capacité est suffisante</w:t>
      </w:r>
    </w:p>
    <w:tbl>
      <w:tblPr>
        <w:tblStyle w:val="Grilledutableau"/>
        <w:tblpPr w:leftFromText="141" w:rightFromText="141" w:vertAnchor="text" w:horzAnchor="margin" w:tblpY="-50"/>
        <w:tblW w:w="0" w:type="auto"/>
        <w:tblLook w:val="04A0" w:firstRow="1" w:lastRow="0" w:firstColumn="1" w:lastColumn="0" w:noHBand="0" w:noVBand="1"/>
      </w:tblPr>
      <w:tblGrid>
        <w:gridCol w:w="1503"/>
        <w:gridCol w:w="1508"/>
        <w:gridCol w:w="1621"/>
        <w:gridCol w:w="1487"/>
        <w:gridCol w:w="2665"/>
      </w:tblGrid>
      <w:tr w:rsidR="002F7780" w:rsidTr="002F7780">
        <w:tc>
          <w:tcPr>
            <w:tcW w:w="1503" w:type="dxa"/>
          </w:tcPr>
          <w:p w:rsidR="002F7780" w:rsidRDefault="002F7780" w:rsidP="002F7780">
            <w:r>
              <w:t>Zones ouvertes à l’urbanisation</w:t>
            </w:r>
          </w:p>
        </w:tc>
        <w:tc>
          <w:tcPr>
            <w:tcW w:w="1508" w:type="dxa"/>
          </w:tcPr>
          <w:p w:rsidR="002F7780" w:rsidRDefault="002F7780" w:rsidP="002F7780">
            <w:r>
              <w:t>Dénomination de la zone</w:t>
            </w:r>
          </w:p>
        </w:tc>
        <w:tc>
          <w:tcPr>
            <w:tcW w:w="1621" w:type="dxa"/>
          </w:tcPr>
          <w:p w:rsidR="002F7780" w:rsidRDefault="002F7780" w:rsidP="002F7780">
            <w:r>
              <w:t>Programmation logements</w:t>
            </w:r>
          </w:p>
        </w:tc>
        <w:tc>
          <w:tcPr>
            <w:tcW w:w="1487" w:type="dxa"/>
          </w:tcPr>
          <w:p w:rsidR="002F7780" w:rsidRDefault="002F7780" w:rsidP="002F7780">
            <w:r>
              <w:t>Echéance remplissage totale</w:t>
            </w:r>
          </w:p>
        </w:tc>
        <w:tc>
          <w:tcPr>
            <w:tcW w:w="2665" w:type="dxa"/>
          </w:tcPr>
          <w:p w:rsidR="002F7780" w:rsidRDefault="002F7780" w:rsidP="002F7780">
            <w:r>
              <w:t>Estimation nombre d’habitant en plus</w:t>
            </w:r>
          </w:p>
        </w:tc>
      </w:tr>
      <w:tr w:rsidR="002F7780" w:rsidTr="002F7780">
        <w:tc>
          <w:tcPr>
            <w:tcW w:w="1503" w:type="dxa"/>
          </w:tcPr>
          <w:p w:rsidR="002F7780" w:rsidRPr="00B30BCC" w:rsidRDefault="000C0870" w:rsidP="002F7780">
            <w:r w:rsidRPr="00B30BCC">
              <w:t>AU</w:t>
            </w:r>
          </w:p>
        </w:tc>
        <w:tc>
          <w:tcPr>
            <w:tcW w:w="1508" w:type="dxa"/>
          </w:tcPr>
          <w:p w:rsidR="002F7780" w:rsidRPr="00B30BCC" w:rsidRDefault="002F7780" w:rsidP="002F7780">
            <w:proofErr w:type="spellStart"/>
            <w:r w:rsidRPr="00B30BCC">
              <w:t>Senes</w:t>
            </w:r>
            <w:proofErr w:type="spellEnd"/>
          </w:p>
        </w:tc>
        <w:tc>
          <w:tcPr>
            <w:tcW w:w="1621" w:type="dxa"/>
            <w:shd w:val="clear" w:color="auto" w:fill="FFFFFF" w:themeFill="background1"/>
          </w:tcPr>
          <w:p w:rsidR="002F7780" w:rsidRPr="00B30BCC" w:rsidRDefault="00B30BCC" w:rsidP="002F7780">
            <w:r>
              <w:t>4</w:t>
            </w:r>
            <w:r w:rsidR="002F7780" w:rsidRPr="00B30BCC">
              <w:t xml:space="preserve"> maisons</w:t>
            </w:r>
          </w:p>
        </w:tc>
        <w:tc>
          <w:tcPr>
            <w:tcW w:w="1487" w:type="dxa"/>
            <w:shd w:val="clear" w:color="auto" w:fill="FFFFFF" w:themeFill="background1"/>
          </w:tcPr>
          <w:p w:rsidR="002F7780" w:rsidRPr="00B30BCC" w:rsidRDefault="002F7780" w:rsidP="002F7780">
            <w:r w:rsidRPr="00B30BCC">
              <w:t>2022</w:t>
            </w:r>
          </w:p>
        </w:tc>
        <w:tc>
          <w:tcPr>
            <w:tcW w:w="2665" w:type="dxa"/>
            <w:shd w:val="clear" w:color="auto" w:fill="FFFFFF" w:themeFill="background1"/>
          </w:tcPr>
          <w:p w:rsidR="002F7780" w:rsidRPr="00B30BCC" w:rsidRDefault="002F7780" w:rsidP="002F7780">
            <w:r w:rsidRPr="00B30BCC">
              <w:t>15</w:t>
            </w:r>
          </w:p>
        </w:tc>
      </w:tr>
      <w:tr w:rsidR="002F7780" w:rsidTr="002F7780">
        <w:tc>
          <w:tcPr>
            <w:tcW w:w="1503" w:type="dxa"/>
          </w:tcPr>
          <w:p w:rsidR="002F7780" w:rsidRPr="00B30BCC" w:rsidRDefault="000C0870" w:rsidP="002F7780">
            <w:r w:rsidRPr="00B30BCC">
              <w:t>AU</w:t>
            </w:r>
          </w:p>
        </w:tc>
        <w:tc>
          <w:tcPr>
            <w:tcW w:w="1508" w:type="dxa"/>
          </w:tcPr>
          <w:p w:rsidR="002F7780" w:rsidRPr="00B30BCC" w:rsidRDefault="002F7780" w:rsidP="002F7780">
            <w:r w:rsidRPr="00B30BCC">
              <w:t>Grandes prairies</w:t>
            </w:r>
          </w:p>
        </w:tc>
        <w:tc>
          <w:tcPr>
            <w:tcW w:w="1621" w:type="dxa"/>
            <w:shd w:val="clear" w:color="auto" w:fill="FFFFFF" w:themeFill="background1"/>
          </w:tcPr>
          <w:p w:rsidR="002F7780" w:rsidRPr="00B30BCC" w:rsidRDefault="002F7780" w:rsidP="002F7780">
            <w:r w:rsidRPr="00B30BCC">
              <w:t>18 logt intermédiaires</w:t>
            </w:r>
          </w:p>
        </w:tc>
        <w:tc>
          <w:tcPr>
            <w:tcW w:w="1487" w:type="dxa"/>
            <w:shd w:val="clear" w:color="auto" w:fill="FFFFFF" w:themeFill="background1"/>
          </w:tcPr>
          <w:p w:rsidR="002F7780" w:rsidRPr="00B30BCC" w:rsidRDefault="002F7780" w:rsidP="002F7780">
            <w:r w:rsidRPr="00B30BCC">
              <w:t>2025</w:t>
            </w:r>
          </w:p>
        </w:tc>
        <w:tc>
          <w:tcPr>
            <w:tcW w:w="2665" w:type="dxa"/>
            <w:shd w:val="clear" w:color="auto" w:fill="FFFFFF" w:themeFill="background1"/>
          </w:tcPr>
          <w:p w:rsidR="002F7780" w:rsidRPr="00B30BCC" w:rsidRDefault="002F7780" w:rsidP="002F7780">
            <w:r w:rsidRPr="00B30BCC">
              <w:t>45</w:t>
            </w:r>
          </w:p>
        </w:tc>
      </w:tr>
      <w:tr w:rsidR="002F7780" w:rsidTr="002F7780">
        <w:trPr>
          <w:trHeight w:val="427"/>
        </w:trPr>
        <w:tc>
          <w:tcPr>
            <w:tcW w:w="1503" w:type="dxa"/>
          </w:tcPr>
          <w:p w:rsidR="002F7780" w:rsidRPr="00B30BCC" w:rsidRDefault="000C0870" w:rsidP="002F7780">
            <w:r w:rsidRPr="00B30BCC">
              <w:t>AU</w:t>
            </w:r>
          </w:p>
        </w:tc>
        <w:tc>
          <w:tcPr>
            <w:tcW w:w="1508" w:type="dxa"/>
          </w:tcPr>
          <w:p w:rsidR="002F7780" w:rsidRPr="00B30BCC" w:rsidRDefault="002F7780" w:rsidP="002F7780">
            <w:r w:rsidRPr="00B30BCC">
              <w:t>Gare</w:t>
            </w:r>
          </w:p>
        </w:tc>
        <w:tc>
          <w:tcPr>
            <w:tcW w:w="1621" w:type="dxa"/>
            <w:shd w:val="clear" w:color="auto" w:fill="FFFFFF" w:themeFill="background1"/>
          </w:tcPr>
          <w:p w:rsidR="002F7780" w:rsidRPr="00B30BCC" w:rsidRDefault="002F7780" w:rsidP="002F7780">
            <w:r w:rsidRPr="00B30BCC">
              <w:t xml:space="preserve">20 logt </w:t>
            </w:r>
            <w:proofErr w:type="spellStart"/>
            <w:r w:rsidRPr="00B30BCC">
              <w:t>intermediaires</w:t>
            </w:r>
            <w:proofErr w:type="spellEnd"/>
            <w:r w:rsidRPr="00B30BCC">
              <w:t xml:space="preserve"> et collectif</w:t>
            </w:r>
          </w:p>
        </w:tc>
        <w:tc>
          <w:tcPr>
            <w:tcW w:w="1487" w:type="dxa"/>
            <w:shd w:val="clear" w:color="auto" w:fill="FFFFFF" w:themeFill="background1"/>
          </w:tcPr>
          <w:p w:rsidR="002F7780" w:rsidRPr="00B30BCC" w:rsidRDefault="002F7780" w:rsidP="002F7780">
            <w:r w:rsidRPr="00B30BCC">
              <w:t>2030</w:t>
            </w:r>
          </w:p>
        </w:tc>
        <w:tc>
          <w:tcPr>
            <w:tcW w:w="2665" w:type="dxa"/>
            <w:shd w:val="clear" w:color="auto" w:fill="FFFFFF" w:themeFill="background1"/>
          </w:tcPr>
          <w:p w:rsidR="002F7780" w:rsidRPr="00B30BCC" w:rsidRDefault="002F7780" w:rsidP="002F7780">
            <w:r w:rsidRPr="00B30BCC">
              <w:t>50</w:t>
            </w:r>
          </w:p>
        </w:tc>
      </w:tr>
    </w:tbl>
    <w:p w:rsidR="002F7780" w:rsidRDefault="002F7780" w:rsidP="001B6667">
      <w:pPr>
        <w:rPr>
          <w:b/>
        </w:rPr>
      </w:pPr>
    </w:p>
    <w:p w:rsidR="00291C88" w:rsidRPr="00B30BCC" w:rsidRDefault="00E845EF"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u w:val="single"/>
        </w:rPr>
      </w:pPr>
      <w:r w:rsidRPr="00291C88">
        <w:rPr>
          <w:b/>
          <w:color w:val="00B0F0"/>
          <w:u w:val="single"/>
        </w:rPr>
        <w:t>&gt;</w:t>
      </w:r>
      <w:r w:rsidR="00291C88" w:rsidRPr="00B30BCC">
        <w:rPr>
          <w:b/>
          <w:u w:val="single"/>
        </w:rPr>
        <w:t>CAPACITE STEP MALATAVERNE</w:t>
      </w:r>
    </w:p>
    <w:p w:rsidR="00867A8B" w:rsidRPr="00B30BCC" w:rsidRDefault="00867A8B"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La capacité de la STEP est de 1900 eq habitant (source document de construction de la STEP de 1997</w:t>
      </w:r>
      <w:r w:rsidR="00C850B5" w:rsidRPr="00B30BCC">
        <w:rPr>
          <w:b/>
        </w:rPr>
        <w:t xml:space="preserve"> et Schéma directeur 490-01 de 2007</w:t>
      </w:r>
      <w:r w:rsidR="006A3009" w:rsidRPr="00B30BCC">
        <w:rPr>
          <w:b/>
        </w:rPr>
        <w:t>).</w:t>
      </w:r>
    </w:p>
    <w:p w:rsidR="001B6667" w:rsidRPr="00B30BCC" w:rsidRDefault="00867A8B"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Le nombre d’habitants au 01/01/2018 (source INSEE) est de 1445 habitants.</w:t>
      </w:r>
    </w:p>
    <w:p w:rsidR="006A3009" w:rsidRPr="00B30BCC" w:rsidRDefault="006A3009"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proofErr w:type="gramStart"/>
      <w:r w:rsidRPr="00B30BCC">
        <w:rPr>
          <w:b/>
        </w:rPr>
        <w:t>Le</w:t>
      </w:r>
      <w:r w:rsidR="00867A8B" w:rsidRPr="00B30BCC">
        <w:rPr>
          <w:b/>
        </w:rPr>
        <w:t xml:space="preserve"> projets</w:t>
      </w:r>
      <w:proofErr w:type="gramEnd"/>
      <w:r w:rsidRPr="00B30BCC">
        <w:rPr>
          <w:b/>
        </w:rPr>
        <w:t xml:space="preserve"> de révision</w:t>
      </w:r>
      <w:r w:rsidR="00867A8B" w:rsidRPr="00B30BCC">
        <w:rPr>
          <w:b/>
        </w:rPr>
        <w:t xml:space="preserve"> du PLU p</w:t>
      </w:r>
      <w:r w:rsidR="00291C88" w:rsidRPr="00B30BCC">
        <w:rPr>
          <w:b/>
        </w:rPr>
        <w:t>orteraient la population à l’</w:t>
      </w:r>
      <w:r w:rsidR="00E20E4A" w:rsidRPr="00B30BCC">
        <w:rPr>
          <w:b/>
        </w:rPr>
        <w:t>horizon 2030</w:t>
      </w:r>
      <w:r w:rsidR="00867A8B" w:rsidRPr="00B30BCC">
        <w:rPr>
          <w:b/>
        </w:rPr>
        <w:t xml:space="preserve"> </w:t>
      </w:r>
      <w:r w:rsidRPr="00B30BCC">
        <w:rPr>
          <w:b/>
        </w:rPr>
        <w:t>avec une répartition comme suit :</w:t>
      </w:r>
    </w:p>
    <w:p w:rsidR="006A3009" w:rsidRPr="00B30BCC" w:rsidRDefault="006A3009" w:rsidP="00F13233">
      <w:pPr>
        <w:pBdr>
          <w:top w:val="single" w:sz="4" w:space="0" w:color="auto"/>
          <w:left w:val="single" w:sz="4" w:space="4" w:color="auto"/>
          <w:bottom w:val="single" w:sz="4" w:space="1" w:color="auto"/>
          <w:right w:val="single" w:sz="4" w:space="4" w:color="auto"/>
        </w:pBdr>
        <w:shd w:val="clear" w:color="auto" w:fill="E2EFD9" w:themeFill="accent6" w:themeFillTint="33"/>
        <w:ind w:firstLine="708"/>
        <w:rPr>
          <w:b/>
        </w:rPr>
      </w:pPr>
      <w:r w:rsidRPr="00B30BCC">
        <w:rPr>
          <w:b/>
        </w:rPr>
        <w:t xml:space="preserve">-Population </w:t>
      </w:r>
      <w:proofErr w:type="gramStart"/>
      <w:r w:rsidRPr="00B30BCC">
        <w:rPr>
          <w:b/>
        </w:rPr>
        <w:t xml:space="preserve">actuelle </w:t>
      </w:r>
      <w:r w:rsidR="00867A8B" w:rsidRPr="00B30BCC">
        <w:rPr>
          <w:b/>
        </w:rPr>
        <w:t xml:space="preserve"> 1445</w:t>
      </w:r>
      <w:proofErr w:type="gramEnd"/>
      <w:r w:rsidRPr="00B30BCC">
        <w:rPr>
          <w:b/>
        </w:rPr>
        <w:t xml:space="preserve"> habitants</w:t>
      </w:r>
    </w:p>
    <w:p w:rsidR="006A3009" w:rsidRPr="00B30BCC" w:rsidRDefault="006A3009" w:rsidP="00F13233">
      <w:pPr>
        <w:pBdr>
          <w:top w:val="single" w:sz="4" w:space="0" w:color="auto"/>
          <w:left w:val="single" w:sz="4" w:space="4" w:color="auto"/>
          <w:bottom w:val="single" w:sz="4" w:space="1" w:color="auto"/>
          <w:right w:val="single" w:sz="4" w:space="4" w:color="auto"/>
        </w:pBdr>
        <w:shd w:val="clear" w:color="auto" w:fill="E2EFD9" w:themeFill="accent6" w:themeFillTint="33"/>
        <w:ind w:firstLine="708"/>
        <w:rPr>
          <w:b/>
        </w:rPr>
      </w:pPr>
      <w:r w:rsidRPr="00B30BCC">
        <w:rPr>
          <w:b/>
        </w:rPr>
        <w:t xml:space="preserve">- Population saisonnière </w:t>
      </w:r>
      <w:r w:rsidR="00E20E4A" w:rsidRPr="00B30BCC">
        <w:rPr>
          <w:b/>
        </w:rPr>
        <w:t>250</w:t>
      </w:r>
      <w:r w:rsidRPr="00B30BCC">
        <w:rPr>
          <w:b/>
        </w:rPr>
        <w:t xml:space="preserve"> habitants</w:t>
      </w:r>
    </w:p>
    <w:p w:rsidR="00291C88" w:rsidRPr="00B30BCC" w:rsidRDefault="006A3009" w:rsidP="00F13233">
      <w:pPr>
        <w:pBdr>
          <w:top w:val="single" w:sz="4" w:space="0" w:color="auto"/>
          <w:left w:val="single" w:sz="4" w:space="4" w:color="auto"/>
          <w:bottom w:val="single" w:sz="4" w:space="1" w:color="auto"/>
          <w:right w:val="single" w:sz="4" w:space="4" w:color="auto"/>
        </w:pBdr>
        <w:shd w:val="clear" w:color="auto" w:fill="E2EFD9" w:themeFill="accent6" w:themeFillTint="33"/>
        <w:ind w:firstLine="708"/>
        <w:rPr>
          <w:b/>
        </w:rPr>
      </w:pPr>
      <w:r w:rsidRPr="00B30BCC">
        <w:rPr>
          <w:b/>
        </w:rPr>
        <w:t>-Population</w:t>
      </w:r>
      <w:r w:rsidR="00291C88" w:rsidRPr="00B30BCC">
        <w:rPr>
          <w:b/>
        </w:rPr>
        <w:t xml:space="preserve"> en croissance PLU </w:t>
      </w:r>
      <w:r w:rsidR="00E20E4A" w:rsidRPr="00B30BCC">
        <w:rPr>
          <w:b/>
        </w:rPr>
        <w:t>225</w:t>
      </w:r>
      <w:r w:rsidR="00291C88" w:rsidRPr="00B30BCC">
        <w:rPr>
          <w:b/>
        </w:rPr>
        <w:t xml:space="preserve"> habitants</w:t>
      </w:r>
    </w:p>
    <w:p w:rsidR="00867A8B" w:rsidRPr="00B30BCC" w:rsidRDefault="00291C88"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 xml:space="preserve">Soit une population cible de </w:t>
      </w:r>
      <w:r w:rsidR="00AE0C70" w:rsidRPr="00B30BCC">
        <w:rPr>
          <w:b/>
        </w:rPr>
        <w:t>1</w:t>
      </w:r>
      <w:r w:rsidR="00E20E4A" w:rsidRPr="00B30BCC">
        <w:rPr>
          <w:b/>
        </w:rPr>
        <w:t>920</w:t>
      </w:r>
      <w:r w:rsidR="00AE0C70" w:rsidRPr="00B30BCC">
        <w:rPr>
          <w:b/>
        </w:rPr>
        <w:t xml:space="preserve"> habitants</w:t>
      </w:r>
    </w:p>
    <w:p w:rsidR="00291C88" w:rsidRPr="00B30BCC" w:rsidRDefault="00291C88"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Conformément au Schéma directeur de 2007, les zones préconisées en assainissement autonome le sont restés, et toutes les nouvelles constructions en dehors de ces zones ont été raccordés au réseau collectif (donc inclus dans le nombre d’habitants actuel.</w:t>
      </w:r>
    </w:p>
    <w:p w:rsidR="006A3009" w:rsidRPr="00B30BCC" w:rsidRDefault="00291C88"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La capacité de la STEP est donc suffisante pour la projection de population envisagée par le futur PLU.</w:t>
      </w:r>
    </w:p>
    <w:p w:rsidR="00E845EF" w:rsidRPr="00B30BCC" w:rsidRDefault="00291C88"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u w:val="single"/>
        </w:rPr>
      </w:pPr>
      <w:r w:rsidRPr="00B30BCC">
        <w:rPr>
          <w:b/>
          <w:u w:val="single"/>
        </w:rPr>
        <w:t>&gt;CAPACITE RESEAUX</w:t>
      </w:r>
      <w:r w:rsidR="00F13233" w:rsidRPr="00B30BCC">
        <w:rPr>
          <w:b/>
          <w:u w:val="single"/>
        </w:rPr>
        <w:t xml:space="preserve"> ASSAINISSEMENT</w:t>
      </w:r>
      <w:r w:rsidR="00E845EF" w:rsidRPr="00B30BCC">
        <w:rPr>
          <w:b/>
          <w:u w:val="single"/>
        </w:rPr>
        <w:t> :</w:t>
      </w:r>
    </w:p>
    <w:p w:rsidR="00844CAD" w:rsidRPr="00B30BCC" w:rsidRDefault="00844CAD" w:rsidP="00F13233">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lastRenderedPageBreak/>
        <w:t>-</w:t>
      </w:r>
      <w:r w:rsidR="00F13233" w:rsidRPr="00B30BCC">
        <w:rPr>
          <w:b/>
        </w:rPr>
        <w:t>Les réseaux arrivant des 2 antennes en STEP sont en valeurs minimales de diamètre 200 mm</w:t>
      </w:r>
    </w:p>
    <w:p w:rsidR="00AE0C70" w:rsidRPr="00B30BCC" w:rsidRDefault="00F13233"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w:t>
      </w:r>
      <w:r w:rsidR="00AE0C70" w:rsidRPr="00B30BCC">
        <w:rPr>
          <w:b/>
        </w:rPr>
        <w:t xml:space="preserve">Les réseaux desservant les zones projets du PLU sont </w:t>
      </w:r>
      <w:r w:rsidRPr="00B30BCC">
        <w:rPr>
          <w:b/>
        </w:rPr>
        <w:t xml:space="preserve">positionnés en amont comme </w:t>
      </w:r>
      <w:r w:rsidR="00AE0C70" w:rsidRPr="00B30BCC">
        <w:rPr>
          <w:b/>
        </w:rPr>
        <w:t>suit :</w:t>
      </w:r>
    </w:p>
    <w:p w:rsidR="00AE0C70" w:rsidRPr="00B30BCC" w:rsidRDefault="00AE0C70" w:rsidP="00F13233">
      <w:pPr>
        <w:pBdr>
          <w:top w:val="single" w:sz="4" w:space="0" w:color="auto"/>
          <w:left w:val="single" w:sz="4" w:space="4" w:color="auto"/>
          <w:bottom w:val="single" w:sz="4" w:space="1" w:color="auto"/>
          <w:right w:val="single" w:sz="4" w:space="4" w:color="auto"/>
        </w:pBdr>
        <w:shd w:val="clear" w:color="auto" w:fill="E2EFD9" w:themeFill="accent6" w:themeFillTint="33"/>
        <w:ind w:firstLine="708"/>
        <w:rPr>
          <w:b/>
        </w:rPr>
      </w:pPr>
      <w:r w:rsidRPr="00B30BCC">
        <w:rPr>
          <w:b/>
        </w:rPr>
        <w:t>-</w:t>
      </w:r>
      <w:proofErr w:type="spellStart"/>
      <w:r w:rsidRPr="00B30BCC">
        <w:rPr>
          <w:b/>
        </w:rPr>
        <w:t>Senes</w:t>
      </w:r>
      <w:proofErr w:type="spellEnd"/>
      <w:r w:rsidRPr="00B30BCC">
        <w:rPr>
          <w:b/>
        </w:rPr>
        <w:t xml:space="preserve"> = Canalisation diamètre 150 mm</w:t>
      </w:r>
    </w:p>
    <w:p w:rsidR="00AE0C70" w:rsidRPr="00B30BCC" w:rsidRDefault="00AE0C70" w:rsidP="00F13233">
      <w:pPr>
        <w:pBdr>
          <w:top w:val="single" w:sz="4" w:space="0" w:color="auto"/>
          <w:left w:val="single" w:sz="4" w:space="4" w:color="auto"/>
          <w:bottom w:val="single" w:sz="4" w:space="1" w:color="auto"/>
          <w:right w:val="single" w:sz="4" w:space="4" w:color="auto"/>
        </w:pBdr>
        <w:shd w:val="clear" w:color="auto" w:fill="E2EFD9" w:themeFill="accent6" w:themeFillTint="33"/>
        <w:ind w:firstLine="708"/>
        <w:rPr>
          <w:b/>
        </w:rPr>
      </w:pPr>
      <w:r w:rsidRPr="00B30BCC">
        <w:rPr>
          <w:b/>
        </w:rPr>
        <w:t>-Grandes prairies = Canalisation diamètre 150 mm</w:t>
      </w:r>
    </w:p>
    <w:p w:rsidR="00AE0C70" w:rsidRPr="00B30BCC" w:rsidRDefault="00AE0C70" w:rsidP="00F13233">
      <w:pPr>
        <w:pBdr>
          <w:top w:val="single" w:sz="4" w:space="0" w:color="auto"/>
          <w:left w:val="single" w:sz="4" w:space="4" w:color="auto"/>
          <w:bottom w:val="single" w:sz="4" w:space="1" w:color="auto"/>
          <w:right w:val="single" w:sz="4" w:space="4" w:color="auto"/>
        </w:pBdr>
        <w:shd w:val="clear" w:color="auto" w:fill="E2EFD9" w:themeFill="accent6" w:themeFillTint="33"/>
        <w:ind w:firstLine="708"/>
        <w:rPr>
          <w:b/>
        </w:rPr>
      </w:pPr>
      <w:r w:rsidRPr="00B30BCC">
        <w:rPr>
          <w:b/>
        </w:rPr>
        <w:t xml:space="preserve">-Gare = </w:t>
      </w:r>
      <w:r w:rsidR="00C23843" w:rsidRPr="00B30BCC">
        <w:rPr>
          <w:b/>
        </w:rPr>
        <w:t>Canalisation Est diamètre 200 mm et Ouest 150 mm</w:t>
      </w:r>
    </w:p>
    <w:p w:rsidR="00F13233" w:rsidRPr="00B30BCC" w:rsidRDefault="003176FB"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-Les réseaux étant identiques en section au schéma directeur de 2007, et les hypothèses d’évolution démographique retenues par le même schéma directeur étant enveloppe par rapport aux projections du futur PLU, la capacité du réseau d’assainissement est donc suffisante</w:t>
      </w:r>
    </w:p>
    <w:p w:rsidR="00F13233" w:rsidRPr="00B30BCC" w:rsidRDefault="00F13233"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u w:val="single"/>
        </w:rPr>
      </w:pPr>
      <w:r w:rsidRPr="00B30BCC">
        <w:rPr>
          <w:b/>
          <w:u w:val="single"/>
        </w:rPr>
        <w:t>&gt;CONCLUSION</w:t>
      </w:r>
    </w:p>
    <w:p w:rsidR="00F13233" w:rsidRPr="00B30BCC" w:rsidRDefault="00F13233"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 xml:space="preserve">Les projections d’évolution de population prévues par le futur PLU à l’horizon 2030, s’inscrivent dans les hypothèses prises lors de l’établissement du Schéma Directeur 490-01 de 2007. </w:t>
      </w:r>
    </w:p>
    <w:p w:rsidR="00F13233" w:rsidRPr="00B30BCC" w:rsidRDefault="00F13233" w:rsidP="002F7780">
      <w:pPr>
        <w:pBdr>
          <w:top w:val="single" w:sz="4" w:space="0" w:color="auto"/>
          <w:left w:val="single" w:sz="4" w:space="4" w:color="auto"/>
          <w:bottom w:val="single" w:sz="4" w:space="1" w:color="auto"/>
          <w:right w:val="single" w:sz="4" w:space="4" w:color="auto"/>
        </w:pBdr>
        <w:shd w:val="clear" w:color="auto" w:fill="E2EFD9" w:themeFill="accent6" w:themeFillTint="33"/>
        <w:rPr>
          <w:b/>
        </w:rPr>
      </w:pPr>
      <w:r w:rsidRPr="00B30BCC">
        <w:rPr>
          <w:b/>
        </w:rPr>
        <w:t>Les capacités de la STEP Malataverne et du réseau d’assainissement sont donc suffisantes pour absorber ces évolutions.</w:t>
      </w:r>
    </w:p>
    <w:p w:rsidR="00FE4121" w:rsidRDefault="00FE4121"/>
    <w:p w:rsidR="002F7780" w:rsidRDefault="002F7780"/>
    <w:p w:rsidR="00FE4121" w:rsidRDefault="00FE4121">
      <w:pPr>
        <w:rPr>
          <w:b/>
        </w:rPr>
      </w:pPr>
      <w:r>
        <w:rPr>
          <w:b/>
        </w:rPr>
        <w:t>Pour les d</w:t>
      </w:r>
      <w:r w:rsidRPr="00FE4121">
        <w:rPr>
          <w:b/>
        </w:rPr>
        <w:t xml:space="preserve">onnées relatives à la station épuration </w:t>
      </w:r>
    </w:p>
    <w:tbl>
      <w:tblPr>
        <w:tblStyle w:val="Grilledutableau"/>
        <w:tblW w:w="0" w:type="auto"/>
        <w:tblLook w:val="04A0" w:firstRow="1" w:lastRow="0" w:firstColumn="1" w:lastColumn="0" w:noHBand="0" w:noVBand="1"/>
      </w:tblPr>
      <w:tblGrid>
        <w:gridCol w:w="421"/>
        <w:gridCol w:w="3827"/>
        <w:gridCol w:w="4814"/>
      </w:tblGrid>
      <w:tr w:rsidR="0093222C" w:rsidTr="003379DD">
        <w:tc>
          <w:tcPr>
            <w:tcW w:w="421" w:type="dxa"/>
          </w:tcPr>
          <w:p w:rsidR="0093222C" w:rsidRDefault="0093222C" w:rsidP="003379DD">
            <w:pPr>
              <w:rPr>
                <w:b/>
              </w:rPr>
            </w:pPr>
          </w:p>
        </w:tc>
        <w:tc>
          <w:tcPr>
            <w:tcW w:w="3827" w:type="dxa"/>
          </w:tcPr>
          <w:p w:rsidR="0093222C" w:rsidRDefault="0093222C" w:rsidP="003379DD">
            <w:pPr>
              <w:rPr>
                <w:b/>
              </w:rPr>
            </w:pPr>
            <w:r>
              <w:rPr>
                <w:b/>
              </w:rPr>
              <w:t>Renseignement à fournir</w:t>
            </w:r>
          </w:p>
        </w:tc>
        <w:tc>
          <w:tcPr>
            <w:tcW w:w="4814" w:type="dxa"/>
          </w:tcPr>
          <w:p w:rsidR="0093222C" w:rsidRDefault="001B6667" w:rsidP="003379DD">
            <w:pPr>
              <w:rPr>
                <w:b/>
              </w:rPr>
            </w:pPr>
            <w:r>
              <w:rPr>
                <w:b/>
              </w:rPr>
              <w:t>C</w:t>
            </w:r>
            <w:r w:rsidR="0093222C">
              <w:rPr>
                <w:b/>
              </w:rPr>
              <w:t>ommentaire</w:t>
            </w:r>
          </w:p>
        </w:tc>
      </w:tr>
      <w:tr w:rsidR="0093222C" w:rsidTr="0093222C">
        <w:tc>
          <w:tcPr>
            <w:tcW w:w="421" w:type="dxa"/>
          </w:tcPr>
          <w:p w:rsidR="0093222C" w:rsidRDefault="0093222C" w:rsidP="003379DD">
            <w:pPr>
              <w:rPr>
                <w:b/>
              </w:rPr>
            </w:pPr>
            <w:r>
              <w:rPr>
                <w:b/>
              </w:rPr>
              <w:t>1</w:t>
            </w:r>
          </w:p>
        </w:tc>
        <w:tc>
          <w:tcPr>
            <w:tcW w:w="3827" w:type="dxa"/>
          </w:tcPr>
          <w:p w:rsidR="0093222C" w:rsidRDefault="0093222C" w:rsidP="003379DD">
            <w:pPr>
              <w:rPr>
                <w:b/>
              </w:rPr>
            </w:pPr>
            <w:r>
              <w:rPr>
                <w:b/>
              </w:rPr>
              <w:t>Station épuration</w:t>
            </w:r>
            <w:r w:rsidR="002E6040">
              <w:rPr>
                <w:b/>
              </w:rPr>
              <w:t> </w:t>
            </w:r>
          </w:p>
        </w:tc>
        <w:tc>
          <w:tcPr>
            <w:tcW w:w="4814" w:type="dxa"/>
            <w:shd w:val="clear" w:color="auto" w:fill="E2EFD9" w:themeFill="accent6" w:themeFillTint="33"/>
          </w:tcPr>
          <w:p w:rsidR="0093222C" w:rsidRPr="00B30BCC" w:rsidRDefault="00C23843" w:rsidP="002E6040">
            <w:pPr>
              <w:rPr>
                <w:i/>
              </w:rPr>
            </w:pPr>
            <w:r w:rsidRPr="00B30BCC">
              <w:rPr>
                <w:i/>
              </w:rPr>
              <w:t>STEP</w:t>
            </w:r>
            <w:r w:rsidR="00F16993" w:rsidRPr="00B30BCC">
              <w:rPr>
                <w:i/>
              </w:rPr>
              <w:t xml:space="preserve"> Malataverne</w:t>
            </w:r>
          </w:p>
        </w:tc>
      </w:tr>
      <w:tr w:rsidR="0093222C" w:rsidTr="0093222C">
        <w:tc>
          <w:tcPr>
            <w:tcW w:w="421" w:type="dxa"/>
          </w:tcPr>
          <w:p w:rsidR="0093222C" w:rsidRDefault="0093222C" w:rsidP="003379DD">
            <w:pPr>
              <w:rPr>
                <w:b/>
              </w:rPr>
            </w:pPr>
            <w:r>
              <w:rPr>
                <w:b/>
              </w:rPr>
              <w:t>2</w:t>
            </w:r>
          </w:p>
        </w:tc>
        <w:tc>
          <w:tcPr>
            <w:tcW w:w="3827" w:type="dxa"/>
          </w:tcPr>
          <w:p w:rsidR="0093222C" w:rsidRDefault="0093222C" w:rsidP="003379DD">
            <w:pPr>
              <w:rPr>
                <w:b/>
              </w:rPr>
            </w:pPr>
            <w:r>
              <w:rPr>
                <w:b/>
              </w:rPr>
              <w:t xml:space="preserve">Historique de la station </w:t>
            </w:r>
          </w:p>
        </w:tc>
        <w:tc>
          <w:tcPr>
            <w:tcW w:w="4814" w:type="dxa"/>
            <w:shd w:val="clear" w:color="auto" w:fill="E2EFD9" w:themeFill="accent6" w:themeFillTint="33"/>
          </w:tcPr>
          <w:p w:rsidR="0093222C" w:rsidRPr="00B30BCC" w:rsidRDefault="00C23843" w:rsidP="0064024A">
            <w:pPr>
              <w:rPr>
                <w:i/>
              </w:rPr>
            </w:pPr>
            <w:r w:rsidRPr="00B30BCC">
              <w:rPr>
                <w:i/>
              </w:rPr>
              <w:t>Construction 1997</w:t>
            </w:r>
          </w:p>
        </w:tc>
      </w:tr>
      <w:tr w:rsidR="0093222C" w:rsidTr="0093222C">
        <w:tc>
          <w:tcPr>
            <w:tcW w:w="421" w:type="dxa"/>
          </w:tcPr>
          <w:p w:rsidR="0093222C" w:rsidRDefault="0093222C" w:rsidP="003379DD">
            <w:pPr>
              <w:rPr>
                <w:b/>
              </w:rPr>
            </w:pPr>
            <w:r>
              <w:rPr>
                <w:b/>
              </w:rPr>
              <w:t>3</w:t>
            </w:r>
          </w:p>
        </w:tc>
        <w:tc>
          <w:tcPr>
            <w:tcW w:w="3827" w:type="dxa"/>
          </w:tcPr>
          <w:p w:rsidR="0093222C" w:rsidRDefault="0093222C" w:rsidP="003379DD">
            <w:pPr>
              <w:rPr>
                <w:b/>
              </w:rPr>
            </w:pPr>
            <w:r>
              <w:rPr>
                <w:b/>
              </w:rPr>
              <w:t>Régime administratif Loi sur l’eau</w:t>
            </w:r>
          </w:p>
        </w:tc>
        <w:tc>
          <w:tcPr>
            <w:tcW w:w="4814" w:type="dxa"/>
            <w:shd w:val="clear" w:color="auto" w:fill="E2EFD9" w:themeFill="accent6" w:themeFillTint="33"/>
          </w:tcPr>
          <w:p w:rsidR="0093222C" w:rsidRPr="00B30BCC" w:rsidRDefault="006C10AE" w:rsidP="003379DD">
            <w:pPr>
              <w:rPr>
                <w:i/>
              </w:rPr>
            </w:pPr>
            <w:r w:rsidRPr="00B30BCC">
              <w:rPr>
                <w:i/>
              </w:rPr>
              <w:t>Loi sur l’eau du 03/01/1992</w:t>
            </w:r>
          </w:p>
        </w:tc>
      </w:tr>
      <w:tr w:rsidR="0093222C" w:rsidTr="0093222C">
        <w:tc>
          <w:tcPr>
            <w:tcW w:w="421" w:type="dxa"/>
          </w:tcPr>
          <w:p w:rsidR="0093222C" w:rsidRDefault="0093222C" w:rsidP="003379DD">
            <w:pPr>
              <w:rPr>
                <w:b/>
              </w:rPr>
            </w:pPr>
            <w:r>
              <w:rPr>
                <w:b/>
              </w:rPr>
              <w:t>4</w:t>
            </w:r>
          </w:p>
        </w:tc>
        <w:tc>
          <w:tcPr>
            <w:tcW w:w="3827" w:type="dxa"/>
          </w:tcPr>
          <w:p w:rsidR="0093222C" w:rsidRDefault="0093222C" w:rsidP="003379DD">
            <w:pPr>
              <w:rPr>
                <w:b/>
              </w:rPr>
            </w:pPr>
            <w:r>
              <w:rPr>
                <w:b/>
              </w:rPr>
              <w:t>Type et traitement en place et projet</w:t>
            </w:r>
          </w:p>
        </w:tc>
        <w:tc>
          <w:tcPr>
            <w:tcW w:w="4814" w:type="dxa"/>
            <w:shd w:val="clear" w:color="auto" w:fill="E2EFD9" w:themeFill="accent6" w:themeFillTint="33"/>
          </w:tcPr>
          <w:p w:rsidR="0093222C" w:rsidRPr="00B30BCC" w:rsidRDefault="00C23843" w:rsidP="003379DD">
            <w:pPr>
              <w:rPr>
                <w:i/>
              </w:rPr>
            </w:pPr>
            <w:r w:rsidRPr="00B30BCC">
              <w:rPr>
                <w:i/>
              </w:rPr>
              <w:t>Décantation en bassin</w:t>
            </w:r>
            <w:r w:rsidR="00DE518E" w:rsidRPr="00B30BCC">
              <w:rPr>
                <w:i/>
              </w:rPr>
              <w:t xml:space="preserve"> Boues activées</w:t>
            </w:r>
          </w:p>
        </w:tc>
      </w:tr>
      <w:tr w:rsidR="0093222C" w:rsidRPr="006C10AE" w:rsidTr="0093222C">
        <w:tc>
          <w:tcPr>
            <w:tcW w:w="421" w:type="dxa"/>
          </w:tcPr>
          <w:p w:rsidR="0093222C" w:rsidRDefault="0093222C" w:rsidP="003379DD">
            <w:pPr>
              <w:rPr>
                <w:b/>
              </w:rPr>
            </w:pPr>
            <w:r>
              <w:rPr>
                <w:b/>
              </w:rPr>
              <w:t>5</w:t>
            </w:r>
          </w:p>
        </w:tc>
        <w:tc>
          <w:tcPr>
            <w:tcW w:w="3827" w:type="dxa"/>
          </w:tcPr>
          <w:p w:rsidR="0093222C" w:rsidRDefault="0093222C" w:rsidP="003379DD">
            <w:pPr>
              <w:rPr>
                <w:b/>
              </w:rPr>
            </w:pPr>
            <w:r>
              <w:rPr>
                <w:b/>
              </w:rPr>
              <w:t xml:space="preserve">Capacité actuelle de traitement (ou capacité nominale de la </w:t>
            </w:r>
            <w:proofErr w:type="gramStart"/>
            <w:r>
              <w:rPr>
                <w:b/>
              </w:rPr>
              <w:t>station)</w:t>
            </w:r>
            <w:proofErr w:type="spellStart"/>
            <w:r w:rsidR="00CA32FF">
              <w:rPr>
                <w:b/>
              </w:rPr>
              <w:t>xxx</w:t>
            </w:r>
            <w:r w:rsidR="0064024A">
              <w:rPr>
                <w:b/>
              </w:rPr>
              <w:t>EQH</w:t>
            </w:r>
            <w:proofErr w:type="spellEnd"/>
            <w:proofErr w:type="gramEnd"/>
          </w:p>
          <w:p w:rsidR="0064024A" w:rsidRPr="00867A8B" w:rsidRDefault="00CA32FF" w:rsidP="003379DD">
            <w:pPr>
              <w:rPr>
                <w:b/>
                <w:lang w:val="en-US"/>
              </w:rPr>
            </w:pPr>
            <w:proofErr w:type="spellStart"/>
            <w:r w:rsidRPr="00867A8B">
              <w:rPr>
                <w:b/>
                <w:lang w:val="en-US"/>
              </w:rPr>
              <w:t>xx</w:t>
            </w:r>
            <w:r w:rsidR="0064024A" w:rsidRPr="00867A8B">
              <w:rPr>
                <w:b/>
                <w:lang w:val="en-US"/>
              </w:rPr>
              <w:t>kg</w:t>
            </w:r>
            <w:proofErr w:type="spellEnd"/>
            <w:r w:rsidR="0064024A" w:rsidRPr="00867A8B">
              <w:rPr>
                <w:b/>
                <w:lang w:val="en-US"/>
              </w:rPr>
              <w:t xml:space="preserve"> db05/j</w:t>
            </w:r>
          </w:p>
          <w:p w:rsidR="0064024A" w:rsidRPr="00867A8B" w:rsidRDefault="00CA32FF" w:rsidP="003379DD">
            <w:pPr>
              <w:rPr>
                <w:b/>
                <w:lang w:val="en-US"/>
              </w:rPr>
            </w:pPr>
            <w:r w:rsidRPr="00867A8B">
              <w:rPr>
                <w:b/>
                <w:lang w:val="en-US"/>
              </w:rPr>
              <w:t xml:space="preserve">xx </w:t>
            </w:r>
            <w:r w:rsidR="0064024A" w:rsidRPr="00867A8B">
              <w:rPr>
                <w:b/>
                <w:lang w:val="en-US"/>
              </w:rPr>
              <w:t>m3/j</w:t>
            </w:r>
          </w:p>
        </w:tc>
        <w:tc>
          <w:tcPr>
            <w:tcW w:w="4814" w:type="dxa"/>
            <w:shd w:val="clear" w:color="auto" w:fill="E2EFD9" w:themeFill="accent6" w:themeFillTint="33"/>
          </w:tcPr>
          <w:p w:rsidR="0093222C" w:rsidRPr="00B30BCC" w:rsidRDefault="003D7757" w:rsidP="003379DD">
            <w:pPr>
              <w:rPr>
                <w:i/>
              </w:rPr>
            </w:pPr>
            <w:r w:rsidRPr="00B30BCC">
              <w:rPr>
                <w:i/>
              </w:rPr>
              <w:t xml:space="preserve">Capacité = 1900 </w:t>
            </w:r>
            <w:proofErr w:type="spellStart"/>
            <w:r w:rsidRPr="00B30BCC">
              <w:rPr>
                <w:i/>
              </w:rPr>
              <w:t>eq</w:t>
            </w:r>
            <w:r w:rsidR="00C23843" w:rsidRPr="00B30BCC">
              <w:rPr>
                <w:i/>
              </w:rPr>
              <w:t>H</w:t>
            </w:r>
            <w:proofErr w:type="spellEnd"/>
            <w:r w:rsidR="00DE518E" w:rsidRPr="00B30BCC">
              <w:rPr>
                <w:i/>
              </w:rPr>
              <w:t xml:space="preserve"> soit 114 kg db05/j</w:t>
            </w:r>
          </w:p>
          <w:p w:rsidR="00DE518E" w:rsidRPr="00B30BCC" w:rsidRDefault="00DE518E" w:rsidP="003379DD">
            <w:pPr>
              <w:rPr>
                <w:i/>
              </w:rPr>
            </w:pPr>
          </w:p>
          <w:p w:rsidR="00C23843" w:rsidRPr="00B30BCC" w:rsidRDefault="003D7757" w:rsidP="003379DD">
            <w:pPr>
              <w:rPr>
                <w:i/>
              </w:rPr>
            </w:pPr>
            <w:r w:rsidRPr="00B30BCC">
              <w:rPr>
                <w:i/>
              </w:rPr>
              <w:t xml:space="preserve">Valeur réelle produite = </w:t>
            </w:r>
            <w:r w:rsidR="00C23843" w:rsidRPr="00B30BCC">
              <w:rPr>
                <w:i/>
              </w:rPr>
              <w:t>103 Kg db05/j</w:t>
            </w:r>
            <w:r w:rsidRPr="00B30BCC">
              <w:rPr>
                <w:i/>
              </w:rPr>
              <w:t xml:space="preserve"> soit 1717 </w:t>
            </w:r>
            <w:proofErr w:type="spellStart"/>
            <w:r w:rsidRPr="00B30BCC">
              <w:rPr>
                <w:i/>
              </w:rPr>
              <w:t>eqH</w:t>
            </w:r>
            <w:proofErr w:type="spellEnd"/>
          </w:p>
        </w:tc>
      </w:tr>
      <w:tr w:rsidR="0093222C" w:rsidTr="0093222C">
        <w:tc>
          <w:tcPr>
            <w:tcW w:w="421" w:type="dxa"/>
          </w:tcPr>
          <w:p w:rsidR="0093222C" w:rsidRDefault="0093222C" w:rsidP="003379DD">
            <w:pPr>
              <w:rPr>
                <w:b/>
              </w:rPr>
            </w:pPr>
            <w:r>
              <w:rPr>
                <w:b/>
              </w:rPr>
              <w:t>6</w:t>
            </w:r>
          </w:p>
        </w:tc>
        <w:tc>
          <w:tcPr>
            <w:tcW w:w="3827" w:type="dxa"/>
          </w:tcPr>
          <w:p w:rsidR="0093222C" w:rsidRPr="00B30BCC" w:rsidRDefault="003D7757" w:rsidP="003379DD">
            <w:pPr>
              <w:rPr>
                <w:b/>
              </w:rPr>
            </w:pPr>
            <w:r w:rsidRPr="00B30BCC">
              <w:rPr>
                <w:b/>
              </w:rPr>
              <w:t>Donnée suite à bilan 24h</w:t>
            </w:r>
          </w:p>
        </w:tc>
        <w:tc>
          <w:tcPr>
            <w:tcW w:w="4814" w:type="dxa"/>
            <w:shd w:val="clear" w:color="auto" w:fill="E2EFD9" w:themeFill="accent6" w:themeFillTint="33"/>
          </w:tcPr>
          <w:p w:rsidR="0093222C" w:rsidRPr="00B30BCC" w:rsidRDefault="003D7757" w:rsidP="003D7757">
            <w:pPr>
              <w:spacing w:line="480" w:lineRule="auto"/>
              <w:rPr>
                <w:i/>
              </w:rPr>
            </w:pPr>
            <w:r w:rsidRPr="00B30BCC">
              <w:rPr>
                <w:i/>
              </w:rPr>
              <w:t xml:space="preserve">72 Kg db05/j soit 1200 </w:t>
            </w:r>
            <w:proofErr w:type="spellStart"/>
            <w:r w:rsidRPr="00B30BCC">
              <w:rPr>
                <w:i/>
              </w:rPr>
              <w:t>eqH</w:t>
            </w:r>
            <w:proofErr w:type="spellEnd"/>
          </w:p>
        </w:tc>
      </w:tr>
    </w:tbl>
    <w:p w:rsidR="0093222C" w:rsidRPr="00FE4121" w:rsidRDefault="0093222C">
      <w:pPr>
        <w:rPr>
          <w:b/>
        </w:rPr>
      </w:pPr>
    </w:p>
    <w:p w:rsidR="0093222C" w:rsidRDefault="0093222C" w:rsidP="00FE4121">
      <w:pPr>
        <w:rPr>
          <w:b/>
        </w:rPr>
      </w:pPr>
    </w:p>
    <w:p w:rsidR="00FE4121" w:rsidRDefault="00FE4121" w:rsidP="00FE4121">
      <w:pPr>
        <w:rPr>
          <w:b/>
        </w:rPr>
      </w:pPr>
      <w:r>
        <w:rPr>
          <w:b/>
        </w:rPr>
        <w:t>Pour les d</w:t>
      </w:r>
      <w:r w:rsidRPr="00FE4121">
        <w:rPr>
          <w:b/>
        </w:rPr>
        <w:t xml:space="preserve">onnées relatives </w:t>
      </w:r>
      <w:r>
        <w:rPr>
          <w:b/>
        </w:rPr>
        <w:t>au réseau</w:t>
      </w:r>
    </w:p>
    <w:tbl>
      <w:tblPr>
        <w:tblStyle w:val="Grilledutableau"/>
        <w:tblW w:w="0" w:type="auto"/>
        <w:tblLook w:val="04A0" w:firstRow="1" w:lastRow="0" w:firstColumn="1" w:lastColumn="0" w:noHBand="0" w:noVBand="1"/>
      </w:tblPr>
      <w:tblGrid>
        <w:gridCol w:w="421"/>
        <w:gridCol w:w="3827"/>
        <w:gridCol w:w="4814"/>
      </w:tblGrid>
      <w:tr w:rsidR="00FE4121" w:rsidTr="00FE4121">
        <w:tc>
          <w:tcPr>
            <w:tcW w:w="421" w:type="dxa"/>
          </w:tcPr>
          <w:p w:rsidR="00FE4121" w:rsidRDefault="00FE4121" w:rsidP="00FE4121">
            <w:pPr>
              <w:rPr>
                <w:b/>
              </w:rPr>
            </w:pPr>
          </w:p>
        </w:tc>
        <w:tc>
          <w:tcPr>
            <w:tcW w:w="3827" w:type="dxa"/>
          </w:tcPr>
          <w:p w:rsidR="00FE4121" w:rsidRDefault="00FE4121" w:rsidP="00FE4121">
            <w:pPr>
              <w:rPr>
                <w:b/>
              </w:rPr>
            </w:pPr>
            <w:r>
              <w:rPr>
                <w:b/>
              </w:rPr>
              <w:t>Renseignement à fournir</w:t>
            </w:r>
          </w:p>
        </w:tc>
        <w:tc>
          <w:tcPr>
            <w:tcW w:w="4814" w:type="dxa"/>
          </w:tcPr>
          <w:p w:rsidR="00FE4121" w:rsidRDefault="00FE4121" w:rsidP="00FE4121">
            <w:pPr>
              <w:rPr>
                <w:b/>
              </w:rPr>
            </w:pPr>
            <w:r>
              <w:rPr>
                <w:b/>
              </w:rPr>
              <w:t>Exemple de commentaire</w:t>
            </w:r>
          </w:p>
        </w:tc>
      </w:tr>
      <w:tr w:rsidR="00FE4121" w:rsidTr="006F305F">
        <w:tc>
          <w:tcPr>
            <w:tcW w:w="421" w:type="dxa"/>
          </w:tcPr>
          <w:p w:rsidR="00FE4121" w:rsidRDefault="0093222C" w:rsidP="00FE4121">
            <w:pPr>
              <w:rPr>
                <w:b/>
              </w:rPr>
            </w:pPr>
            <w:r>
              <w:rPr>
                <w:b/>
              </w:rPr>
              <w:t>1</w:t>
            </w:r>
          </w:p>
        </w:tc>
        <w:tc>
          <w:tcPr>
            <w:tcW w:w="3827" w:type="dxa"/>
          </w:tcPr>
          <w:p w:rsidR="00FE4121" w:rsidRDefault="00FE4121" w:rsidP="00FE4121">
            <w:pPr>
              <w:rPr>
                <w:b/>
              </w:rPr>
            </w:pPr>
            <w:r>
              <w:rPr>
                <w:b/>
              </w:rPr>
              <w:t>Equipement et fonctionnement des réseaux</w:t>
            </w:r>
          </w:p>
        </w:tc>
        <w:tc>
          <w:tcPr>
            <w:tcW w:w="4814" w:type="dxa"/>
            <w:shd w:val="clear" w:color="auto" w:fill="E2EFD9" w:themeFill="accent6" w:themeFillTint="33"/>
          </w:tcPr>
          <w:p w:rsidR="00FE4121" w:rsidRPr="00B30BCC" w:rsidRDefault="006C10AE" w:rsidP="00AE6D26">
            <w:r w:rsidRPr="00B30BCC">
              <w:t xml:space="preserve">Réseau gravitaire, avec un poste de </w:t>
            </w:r>
            <w:r w:rsidR="003D7757" w:rsidRPr="00B30BCC">
              <w:t>relèvement</w:t>
            </w:r>
            <w:r w:rsidRPr="00B30BCC">
              <w:t xml:space="preserve"> au </w:t>
            </w:r>
            <w:proofErr w:type="spellStart"/>
            <w:r w:rsidRPr="00B30BCC">
              <w:t>Chatras</w:t>
            </w:r>
            <w:proofErr w:type="spellEnd"/>
          </w:p>
          <w:p w:rsidR="006C10AE" w:rsidRPr="00B30BCC" w:rsidRDefault="006C10AE" w:rsidP="00AE6D26">
            <w:r w:rsidRPr="00B30BCC">
              <w:t>Réseau séparatif EP/EU</w:t>
            </w:r>
          </w:p>
        </w:tc>
      </w:tr>
      <w:tr w:rsidR="00FE4121" w:rsidTr="006F305F">
        <w:tc>
          <w:tcPr>
            <w:tcW w:w="421" w:type="dxa"/>
          </w:tcPr>
          <w:p w:rsidR="00FE4121" w:rsidRDefault="0093222C" w:rsidP="00FE4121">
            <w:pPr>
              <w:rPr>
                <w:b/>
              </w:rPr>
            </w:pPr>
            <w:r>
              <w:rPr>
                <w:b/>
              </w:rPr>
              <w:t>2</w:t>
            </w:r>
          </w:p>
        </w:tc>
        <w:tc>
          <w:tcPr>
            <w:tcW w:w="3827" w:type="dxa"/>
          </w:tcPr>
          <w:p w:rsidR="00FE4121" w:rsidRDefault="00FE4121" w:rsidP="00FE4121">
            <w:pPr>
              <w:rPr>
                <w:b/>
              </w:rPr>
            </w:pPr>
            <w:r>
              <w:rPr>
                <w:b/>
              </w:rPr>
              <w:t>Réalisation de l’étude de diagnostic</w:t>
            </w:r>
          </w:p>
        </w:tc>
        <w:tc>
          <w:tcPr>
            <w:tcW w:w="4814" w:type="dxa"/>
            <w:shd w:val="clear" w:color="auto" w:fill="E2EFD9" w:themeFill="accent6" w:themeFillTint="33"/>
          </w:tcPr>
          <w:p w:rsidR="00FE4121" w:rsidRPr="00B30BCC" w:rsidRDefault="00C23843" w:rsidP="00B5371F">
            <w:r w:rsidRPr="00B30BCC">
              <w:t>En 2007 à l’établissement du schéma directeur</w:t>
            </w:r>
          </w:p>
        </w:tc>
      </w:tr>
      <w:tr w:rsidR="00FE4121" w:rsidTr="006F305F">
        <w:tc>
          <w:tcPr>
            <w:tcW w:w="421" w:type="dxa"/>
          </w:tcPr>
          <w:p w:rsidR="00FE4121" w:rsidRDefault="0093222C" w:rsidP="00FE4121">
            <w:pPr>
              <w:rPr>
                <w:b/>
              </w:rPr>
            </w:pPr>
            <w:r>
              <w:rPr>
                <w:b/>
              </w:rPr>
              <w:t>3</w:t>
            </w:r>
          </w:p>
        </w:tc>
        <w:tc>
          <w:tcPr>
            <w:tcW w:w="3827" w:type="dxa"/>
          </w:tcPr>
          <w:p w:rsidR="00FE4121" w:rsidRDefault="00FE4121" w:rsidP="00FE4121">
            <w:pPr>
              <w:rPr>
                <w:b/>
              </w:rPr>
            </w:pPr>
            <w:r>
              <w:rPr>
                <w:b/>
              </w:rPr>
              <w:t>Type du réseau</w:t>
            </w:r>
          </w:p>
        </w:tc>
        <w:tc>
          <w:tcPr>
            <w:tcW w:w="4814" w:type="dxa"/>
            <w:shd w:val="clear" w:color="auto" w:fill="E2EFD9" w:themeFill="accent6" w:themeFillTint="33"/>
          </w:tcPr>
          <w:p w:rsidR="00FE4121" w:rsidRPr="00B30BCC" w:rsidRDefault="00C23843" w:rsidP="000D2429">
            <w:r w:rsidRPr="00B30BCC">
              <w:t>Gravitaire</w:t>
            </w:r>
            <w:r w:rsidR="003E206C" w:rsidRPr="00B30BCC">
              <w:t xml:space="preserve"> </w:t>
            </w:r>
            <w:r w:rsidR="006C10AE" w:rsidRPr="00B30BCC">
              <w:t xml:space="preserve">avec un poste de </w:t>
            </w:r>
            <w:r w:rsidR="003D7757" w:rsidRPr="00B30BCC">
              <w:t>relèvement</w:t>
            </w:r>
            <w:r w:rsidR="006C10AE" w:rsidRPr="00B30BCC">
              <w:t xml:space="preserve"> au </w:t>
            </w:r>
            <w:proofErr w:type="spellStart"/>
            <w:r w:rsidR="006C10AE" w:rsidRPr="00B30BCC">
              <w:t>Chatras</w:t>
            </w:r>
            <w:proofErr w:type="spellEnd"/>
          </w:p>
        </w:tc>
      </w:tr>
      <w:tr w:rsidR="00FE4121" w:rsidTr="006F305F">
        <w:tc>
          <w:tcPr>
            <w:tcW w:w="421" w:type="dxa"/>
          </w:tcPr>
          <w:p w:rsidR="00FE4121" w:rsidRDefault="0093222C" w:rsidP="00FE4121">
            <w:pPr>
              <w:rPr>
                <w:b/>
              </w:rPr>
            </w:pPr>
            <w:r>
              <w:rPr>
                <w:b/>
              </w:rPr>
              <w:t>4</w:t>
            </w:r>
          </w:p>
        </w:tc>
        <w:tc>
          <w:tcPr>
            <w:tcW w:w="3827" w:type="dxa"/>
          </w:tcPr>
          <w:p w:rsidR="00FE4121" w:rsidRDefault="00FE4121" w:rsidP="00FE4121">
            <w:pPr>
              <w:rPr>
                <w:b/>
              </w:rPr>
            </w:pPr>
            <w:r>
              <w:rPr>
                <w:b/>
              </w:rPr>
              <w:t>Bassins d’orage</w:t>
            </w:r>
          </w:p>
        </w:tc>
        <w:tc>
          <w:tcPr>
            <w:tcW w:w="4814" w:type="dxa"/>
            <w:shd w:val="clear" w:color="auto" w:fill="E2EFD9" w:themeFill="accent6" w:themeFillTint="33"/>
          </w:tcPr>
          <w:p w:rsidR="00FE4121" w:rsidRPr="00B30BCC" w:rsidRDefault="00C87800" w:rsidP="00FE4121">
            <w:r w:rsidRPr="00B30BCC">
              <w:t>Néant</w:t>
            </w:r>
          </w:p>
        </w:tc>
      </w:tr>
      <w:tr w:rsidR="00FE4121" w:rsidTr="006F305F">
        <w:tc>
          <w:tcPr>
            <w:tcW w:w="421" w:type="dxa"/>
          </w:tcPr>
          <w:p w:rsidR="00FE4121" w:rsidRDefault="0093222C" w:rsidP="00FE4121">
            <w:pPr>
              <w:rPr>
                <w:b/>
              </w:rPr>
            </w:pPr>
            <w:r>
              <w:rPr>
                <w:b/>
              </w:rPr>
              <w:t>5</w:t>
            </w:r>
          </w:p>
        </w:tc>
        <w:tc>
          <w:tcPr>
            <w:tcW w:w="3827" w:type="dxa"/>
          </w:tcPr>
          <w:p w:rsidR="00FE4121" w:rsidRDefault="00FE4121" w:rsidP="00FE4121">
            <w:pPr>
              <w:rPr>
                <w:b/>
              </w:rPr>
            </w:pPr>
            <w:proofErr w:type="spellStart"/>
            <w:r>
              <w:rPr>
                <w:b/>
              </w:rPr>
              <w:t>Deversoirs</w:t>
            </w:r>
            <w:proofErr w:type="spellEnd"/>
            <w:r>
              <w:rPr>
                <w:b/>
              </w:rPr>
              <w:t xml:space="preserve"> d’orage</w:t>
            </w:r>
          </w:p>
        </w:tc>
        <w:tc>
          <w:tcPr>
            <w:tcW w:w="4814" w:type="dxa"/>
            <w:shd w:val="clear" w:color="auto" w:fill="E2EFD9" w:themeFill="accent6" w:themeFillTint="33"/>
          </w:tcPr>
          <w:p w:rsidR="00FE4121" w:rsidRPr="00B30BCC" w:rsidRDefault="00C23843" w:rsidP="00FE4121">
            <w:r w:rsidRPr="00B30BCC">
              <w:t>1 en STEP</w:t>
            </w:r>
          </w:p>
        </w:tc>
      </w:tr>
      <w:tr w:rsidR="00FE4121" w:rsidTr="006F305F">
        <w:tc>
          <w:tcPr>
            <w:tcW w:w="421" w:type="dxa"/>
          </w:tcPr>
          <w:p w:rsidR="00FE4121" w:rsidRDefault="0093222C" w:rsidP="00FE4121">
            <w:pPr>
              <w:rPr>
                <w:b/>
              </w:rPr>
            </w:pPr>
            <w:r>
              <w:rPr>
                <w:b/>
              </w:rPr>
              <w:t>6</w:t>
            </w:r>
          </w:p>
        </w:tc>
        <w:tc>
          <w:tcPr>
            <w:tcW w:w="3827" w:type="dxa"/>
          </w:tcPr>
          <w:p w:rsidR="00FE4121" w:rsidRDefault="00FE4121" w:rsidP="00FE4121">
            <w:pPr>
              <w:rPr>
                <w:b/>
              </w:rPr>
            </w:pPr>
            <w:r>
              <w:rPr>
                <w:b/>
              </w:rPr>
              <w:t>Postes de relèvement</w:t>
            </w:r>
          </w:p>
        </w:tc>
        <w:tc>
          <w:tcPr>
            <w:tcW w:w="4814" w:type="dxa"/>
            <w:shd w:val="clear" w:color="auto" w:fill="E2EFD9" w:themeFill="accent6" w:themeFillTint="33"/>
          </w:tcPr>
          <w:p w:rsidR="00FE4121" w:rsidRPr="00B30BCC" w:rsidRDefault="00C23843" w:rsidP="00FE4121">
            <w:r w:rsidRPr="00B30BCC">
              <w:t>1</w:t>
            </w:r>
            <w:r w:rsidR="003D7757" w:rsidRPr="00B30BCC">
              <w:t xml:space="preserve"> au </w:t>
            </w:r>
            <w:proofErr w:type="spellStart"/>
            <w:r w:rsidR="003D7757" w:rsidRPr="00B30BCC">
              <w:t>C</w:t>
            </w:r>
            <w:r w:rsidR="00C87800" w:rsidRPr="00B30BCC">
              <w:t>hatras</w:t>
            </w:r>
            <w:proofErr w:type="spellEnd"/>
          </w:p>
        </w:tc>
      </w:tr>
      <w:tr w:rsidR="00FE4121" w:rsidTr="006F305F">
        <w:tc>
          <w:tcPr>
            <w:tcW w:w="421" w:type="dxa"/>
          </w:tcPr>
          <w:p w:rsidR="00FE4121" w:rsidRDefault="0093222C" w:rsidP="00FE4121">
            <w:pPr>
              <w:rPr>
                <w:b/>
              </w:rPr>
            </w:pPr>
            <w:r>
              <w:rPr>
                <w:b/>
              </w:rPr>
              <w:lastRenderedPageBreak/>
              <w:t>7</w:t>
            </w:r>
          </w:p>
        </w:tc>
        <w:tc>
          <w:tcPr>
            <w:tcW w:w="3827" w:type="dxa"/>
          </w:tcPr>
          <w:p w:rsidR="00FE4121" w:rsidRDefault="00FE4121" w:rsidP="00FE4121">
            <w:pPr>
              <w:rPr>
                <w:b/>
              </w:rPr>
            </w:pPr>
            <w:r>
              <w:rPr>
                <w:b/>
              </w:rPr>
              <w:t>Evaluation de la part des eaux claires parasites dans l’effluent en entrée de station</w:t>
            </w:r>
          </w:p>
        </w:tc>
        <w:tc>
          <w:tcPr>
            <w:tcW w:w="4814" w:type="dxa"/>
            <w:shd w:val="clear" w:color="auto" w:fill="E2EFD9" w:themeFill="accent6" w:themeFillTint="33"/>
          </w:tcPr>
          <w:p w:rsidR="00FE4121" w:rsidRPr="00B30BCC" w:rsidRDefault="00C87800" w:rsidP="00FE4121">
            <w:r w:rsidRPr="00B30BCC">
              <w:t>Environ 20</w:t>
            </w:r>
            <w:r w:rsidR="00C23843" w:rsidRPr="00B30BCC">
              <w:t>%</w:t>
            </w:r>
            <w:r w:rsidR="003D7757" w:rsidRPr="00B30BCC">
              <w:t xml:space="preserve"> mais non mesurée</w:t>
            </w:r>
          </w:p>
        </w:tc>
      </w:tr>
      <w:tr w:rsidR="00FE4121" w:rsidTr="006F305F">
        <w:tc>
          <w:tcPr>
            <w:tcW w:w="421" w:type="dxa"/>
          </w:tcPr>
          <w:p w:rsidR="00FE4121" w:rsidRDefault="0093222C" w:rsidP="00FE4121">
            <w:pPr>
              <w:rPr>
                <w:b/>
              </w:rPr>
            </w:pPr>
            <w:r>
              <w:rPr>
                <w:b/>
              </w:rPr>
              <w:t>8</w:t>
            </w:r>
          </w:p>
        </w:tc>
        <w:tc>
          <w:tcPr>
            <w:tcW w:w="3827" w:type="dxa"/>
          </w:tcPr>
          <w:p w:rsidR="00FE4121" w:rsidRDefault="00FE4121" w:rsidP="00FE4121">
            <w:pPr>
              <w:rPr>
                <w:b/>
              </w:rPr>
            </w:pPr>
            <w:r>
              <w:rPr>
                <w:b/>
              </w:rPr>
              <w:t>Conc</w:t>
            </w:r>
            <w:r w:rsidR="0093222C">
              <w:rPr>
                <w:b/>
              </w:rPr>
              <w:t>l</w:t>
            </w:r>
            <w:r>
              <w:rPr>
                <w:b/>
              </w:rPr>
              <w:t>u</w:t>
            </w:r>
            <w:r w:rsidR="0093222C">
              <w:rPr>
                <w:b/>
              </w:rPr>
              <w:t xml:space="preserve">sions </w:t>
            </w:r>
            <w:r>
              <w:rPr>
                <w:b/>
              </w:rPr>
              <w:t>de l’étude diag</w:t>
            </w:r>
            <w:r w:rsidR="0093222C">
              <w:rPr>
                <w:b/>
              </w:rPr>
              <w:t>no</w:t>
            </w:r>
            <w:r>
              <w:rPr>
                <w:b/>
              </w:rPr>
              <w:t xml:space="preserve">stic et suite donnée par le MO </w:t>
            </w:r>
          </w:p>
        </w:tc>
        <w:tc>
          <w:tcPr>
            <w:tcW w:w="4814" w:type="dxa"/>
            <w:shd w:val="clear" w:color="auto" w:fill="E2EFD9" w:themeFill="accent6" w:themeFillTint="33"/>
          </w:tcPr>
          <w:p w:rsidR="009676ED" w:rsidRPr="00B30BCC" w:rsidRDefault="009676ED" w:rsidP="00FE4121">
            <w:r w:rsidRPr="00B30BCC">
              <w:t>-Le diagnostic a permis de class</w:t>
            </w:r>
            <w:r w:rsidR="00B30BCC">
              <w:t xml:space="preserve">er </w:t>
            </w:r>
            <w:r w:rsidRPr="00B30BCC">
              <w:t>des secteurs permettant de définir les filières adaptées à chaque point de la commune.</w:t>
            </w:r>
          </w:p>
          <w:p w:rsidR="009676ED" w:rsidRPr="00B30BCC" w:rsidRDefault="009676ED" w:rsidP="00FE4121">
            <w:r w:rsidRPr="00B30BCC">
              <w:t>-Les 26 habitations non raccordées au réseau d’assainissement collectif sont maintenues dans cette configuration</w:t>
            </w:r>
          </w:p>
          <w:p w:rsidR="009676ED" w:rsidRPr="00B30BCC" w:rsidRDefault="009676ED" w:rsidP="00FE4121">
            <w:r w:rsidRPr="00B30BCC">
              <w:t>-Toutes les nouvelles constructions se sont raccordées au réseau d’assainissement collectif.</w:t>
            </w:r>
          </w:p>
          <w:p w:rsidR="00C87800" w:rsidRPr="00B30BCC" w:rsidRDefault="009676ED" w:rsidP="00FE4121">
            <w:r w:rsidRPr="00B30BCC">
              <w:t>-La m</w:t>
            </w:r>
            <w:r w:rsidR="00C87800" w:rsidRPr="00B30BCC">
              <w:t xml:space="preserve">ise en </w:t>
            </w:r>
            <w:r w:rsidRPr="00B30BCC">
              <w:t xml:space="preserve">réseau </w:t>
            </w:r>
            <w:r w:rsidR="00C87800" w:rsidRPr="00B30BCC">
              <w:t xml:space="preserve">séparatif de certaines constructions </w:t>
            </w:r>
            <w:r w:rsidRPr="00B30BCC">
              <w:t xml:space="preserve">a été réalisé </w:t>
            </w:r>
            <w:r w:rsidR="00C87800" w:rsidRPr="00B30BCC">
              <w:t>(environ 6)</w:t>
            </w:r>
          </w:p>
          <w:p w:rsidR="00B069CA" w:rsidRPr="00B30BCC" w:rsidRDefault="00B069CA" w:rsidP="00FE4121">
            <w:r w:rsidRPr="00B30BCC">
              <w:t>-</w:t>
            </w:r>
            <w:r w:rsidR="00C87800" w:rsidRPr="00B30BCC">
              <w:t xml:space="preserve">Toutes les nouvelles constructions sont obligatoirement en </w:t>
            </w:r>
            <w:r w:rsidRPr="00B30BCC">
              <w:t xml:space="preserve">réseaux </w:t>
            </w:r>
            <w:r w:rsidR="00C87800" w:rsidRPr="00B30BCC">
              <w:t>séparatif</w:t>
            </w:r>
            <w:r w:rsidRPr="00B30BCC">
              <w:t>s</w:t>
            </w:r>
          </w:p>
          <w:p w:rsidR="00C87800" w:rsidRPr="00B30BCC" w:rsidRDefault="00B069CA" w:rsidP="00E20E4A">
            <w:r w:rsidRPr="00B30BCC">
              <w:t xml:space="preserve">-Le diagnostic identifiait la présence d’une quantité importante en eaux claires à l’arrivée à la STEP. Des travaux ont donc été réalisés pour le chemisage du collecteur EU du </w:t>
            </w:r>
            <w:proofErr w:type="spellStart"/>
            <w:r w:rsidRPr="00B30BCC">
              <w:t>Fanjaret</w:t>
            </w:r>
            <w:proofErr w:type="spellEnd"/>
            <w:r w:rsidR="00E20E4A" w:rsidRPr="00B30BCC">
              <w:t xml:space="preserve"> en 2014</w:t>
            </w:r>
            <w:r w:rsidR="00C87800" w:rsidRPr="00B30BCC">
              <w:t xml:space="preserve"> </w:t>
            </w:r>
          </w:p>
        </w:tc>
      </w:tr>
    </w:tbl>
    <w:p w:rsidR="00EB2191" w:rsidRPr="00B30BCC" w:rsidRDefault="00FE4121" w:rsidP="00B30BCC">
      <w:pPr>
        <w:rPr>
          <w:b/>
        </w:rPr>
      </w:pPr>
      <w:r w:rsidRPr="00FE4121">
        <w:rPr>
          <w:b/>
        </w:rPr>
        <w:t xml:space="preserve"> </w:t>
      </w:r>
      <w:bookmarkStart w:id="0" w:name="_GoBack"/>
      <w:bookmarkEnd w:id="0"/>
      <w:r w:rsidR="006D228B">
        <w:rPr>
          <w:color w:val="FF0000"/>
        </w:rPr>
        <w:t xml:space="preserve"> </w:t>
      </w:r>
    </w:p>
    <w:sectPr w:rsidR="00EB2191" w:rsidRPr="00B30BCC" w:rsidSect="002704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463"/>
    <w:rsid w:val="00004CBA"/>
    <w:rsid w:val="000C0870"/>
    <w:rsid w:val="000D2429"/>
    <w:rsid w:val="000E6F83"/>
    <w:rsid w:val="001B6667"/>
    <w:rsid w:val="001C29E1"/>
    <w:rsid w:val="0027045D"/>
    <w:rsid w:val="00291C88"/>
    <w:rsid w:val="002A7D3F"/>
    <w:rsid w:val="002E3DEA"/>
    <w:rsid w:val="002E6040"/>
    <w:rsid w:val="002F36E0"/>
    <w:rsid w:val="002F45BC"/>
    <w:rsid w:val="002F7780"/>
    <w:rsid w:val="003176FB"/>
    <w:rsid w:val="00357CD5"/>
    <w:rsid w:val="003D7757"/>
    <w:rsid w:val="003E206C"/>
    <w:rsid w:val="004845AD"/>
    <w:rsid w:val="004C7611"/>
    <w:rsid w:val="00556903"/>
    <w:rsid w:val="00597F85"/>
    <w:rsid w:val="005A59F0"/>
    <w:rsid w:val="005E2283"/>
    <w:rsid w:val="0060012D"/>
    <w:rsid w:val="0064024A"/>
    <w:rsid w:val="006A3009"/>
    <w:rsid w:val="006C10AE"/>
    <w:rsid w:val="006D228B"/>
    <w:rsid w:val="006F305F"/>
    <w:rsid w:val="006F5EC1"/>
    <w:rsid w:val="007171C5"/>
    <w:rsid w:val="00750380"/>
    <w:rsid w:val="0077549C"/>
    <w:rsid w:val="00782C34"/>
    <w:rsid w:val="00844CAD"/>
    <w:rsid w:val="00867A8B"/>
    <w:rsid w:val="00914376"/>
    <w:rsid w:val="0093222C"/>
    <w:rsid w:val="009676ED"/>
    <w:rsid w:val="00994A9E"/>
    <w:rsid w:val="009B55B6"/>
    <w:rsid w:val="009C19BE"/>
    <w:rsid w:val="009F6463"/>
    <w:rsid w:val="00AE0C70"/>
    <w:rsid w:val="00AE226F"/>
    <w:rsid w:val="00AE6D26"/>
    <w:rsid w:val="00B069CA"/>
    <w:rsid w:val="00B30BCC"/>
    <w:rsid w:val="00B4147B"/>
    <w:rsid w:val="00B5371F"/>
    <w:rsid w:val="00B61EEE"/>
    <w:rsid w:val="00BE5B6F"/>
    <w:rsid w:val="00C23843"/>
    <w:rsid w:val="00C850B5"/>
    <w:rsid w:val="00C87800"/>
    <w:rsid w:val="00CA32FF"/>
    <w:rsid w:val="00CB057A"/>
    <w:rsid w:val="00CD3C53"/>
    <w:rsid w:val="00DE518E"/>
    <w:rsid w:val="00E20E4A"/>
    <w:rsid w:val="00E82614"/>
    <w:rsid w:val="00E845EF"/>
    <w:rsid w:val="00EB0EAE"/>
    <w:rsid w:val="00EB2191"/>
    <w:rsid w:val="00EB4040"/>
    <w:rsid w:val="00F13233"/>
    <w:rsid w:val="00F16993"/>
    <w:rsid w:val="00FC7984"/>
    <w:rsid w:val="00FE41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6665E"/>
  <w15:docId w15:val="{9FAC2D3B-E1A9-4574-B782-349C68156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7045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E4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845A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45AD"/>
    <w:rPr>
      <w:rFonts w:ascii="Segoe UI" w:hAnsi="Segoe UI" w:cs="Segoe UI"/>
      <w:sz w:val="18"/>
      <w:szCs w:val="18"/>
    </w:rPr>
  </w:style>
  <w:style w:type="paragraph" w:styleId="NormalWeb">
    <w:name w:val="Normal (Web)"/>
    <w:basedOn w:val="Normal"/>
    <w:uiPriority w:val="99"/>
    <w:semiHidden/>
    <w:unhideWhenUsed/>
    <w:rsid w:val="00EB0EAE"/>
    <w:pPr>
      <w:spacing w:before="100" w:beforeAutospacing="1" w:after="100" w:afterAutospacing="1"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38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8F87D-AB3E-48E1-906D-BED8C5B5C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683</Words>
  <Characters>3758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Eugenie Cocteaux</dc:creator>
  <cp:lastModifiedBy>Eugenie Cocteaux</cp:lastModifiedBy>
  <cp:revision>3</cp:revision>
  <cp:lastPrinted>2017-06-21T16:02:00Z</cp:lastPrinted>
  <dcterms:created xsi:type="dcterms:W3CDTF">2019-10-23T05:48:00Z</dcterms:created>
  <dcterms:modified xsi:type="dcterms:W3CDTF">2019-10-23T09:48:00Z</dcterms:modified>
</cp:coreProperties>
</file>