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852" w:rsidRPr="00E01C77" w:rsidRDefault="00F32852" w:rsidP="00E01C77">
      <w:pPr>
        <w:pStyle w:val="Titre1"/>
      </w:pPr>
      <w:r w:rsidRPr="00E01C77">
        <w:t>Règlement</w:t>
      </w:r>
    </w:p>
    <w:p w:rsidR="00265260" w:rsidRPr="00265260" w:rsidRDefault="00265260" w:rsidP="00265260">
      <w:pPr>
        <w:pStyle w:val="Corpsdetexte"/>
      </w:pPr>
    </w:p>
    <w:p w:rsidR="00F32852" w:rsidRPr="005A4AF0" w:rsidRDefault="00E01C77" w:rsidP="00E01C77">
      <w:pPr>
        <w:pStyle w:val="Titre2"/>
      </w:pPr>
      <w:bookmarkStart w:id="0" w:name="_Toc31876965"/>
      <w:r>
        <w:t>D</w:t>
      </w:r>
      <w:r w:rsidR="00F32852">
        <w:t>imension des voies</w:t>
      </w:r>
      <w:r w:rsidR="00F32852" w:rsidRPr="005A4AF0">
        <w:t xml:space="preserve"> : modification de l’article </w:t>
      </w:r>
      <w:r w:rsidR="00F32852">
        <w:t>3</w:t>
      </w:r>
      <w:r w:rsidR="00F32852" w:rsidRPr="005A4AF0">
        <w:t xml:space="preserve"> dans les zones</w:t>
      </w:r>
      <w:r w:rsidR="00F32852">
        <w:t xml:space="preserve"> </w:t>
      </w:r>
      <w:proofErr w:type="spellStart"/>
      <w:r w:rsidR="00F32852">
        <w:t>Ub</w:t>
      </w:r>
      <w:proofErr w:type="spellEnd"/>
      <w:r w:rsidR="00F32852">
        <w:t xml:space="preserve">, </w:t>
      </w:r>
      <w:proofErr w:type="spellStart"/>
      <w:r w:rsidR="00F32852">
        <w:t>Uc</w:t>
      </w:r>
      <w:proofErr w:type="spellEnd"/>
      <w:r w:rsidR="00F32852">
        <w:t xml:space="preserve">, Ud et </w:t>
      </w:r>
      <w:proofErr w:type="spellStart"/>
      <w:r w:rsidR="00F32852">
        <w:t>AUc</w:t>
      </w:r>
      <w:proofErr w:type="spellEnd"/>
      <w:r w:rsidR="00F32852">
        <w:t xml:space="preserve"> de « Accès et voirie »</w:t>
      </w:r>
      <w:bookmarkEnd w:id="0"/>
    </w:p>
    <w:p w:rsidR="00F32852" w:rsidRPr="005A4AF0" w:rsidRDefault="00F32852" w:rsidP="00F32852">
      <w:pPr>
        <w:pStyle w:val="Paragraphedeliste"/>
        <w:numPr>
          <w:ilvl w:val="0"/>
          <w:numId w:val="2"/>
        </w:numPr>
        <w:spacing w:after="60"/>
        <w:rPr>
          <w:sz w:val="24"/>
          <w:szCs w:val="24"/>
        </w:rPr>
      </w:pPr>
      <w:r w:rsidRPr="005A4AF0">
        <w:rPr>
          <w:sz w:val="24"/>
          <w:szCs w:val="24"/>
        </w:rPr>
        <w:t>Avant</w:t>
      </w:r>
    </w:p>
    <w:p w:rsidR="00F32852" w:rsidRDefault="00F32852" w:rsidP="00F32852">
      <w:pPr>
        <w:pStyle w:val="Standard"/>
        <w:jc w:val="both"/>
        <w:rPr>
          <w:rFonts w:ascii="Calibri" w:hAnsi="Calibri"/>
        </w:rPr>
      </w:pPr>
      <w:r>
        <w:rPr>
          <w:rFonts w:ascii="Calibri" w:hAnsi="Calibri"/>
        </w:rPr>
        <w:t xml:space="preserve"> « Les accès doivent, en cas de division parcellaire, présenter une largeur minimale de 4 mètres pour un lot et de 5 mètres pour deux lots et plus ».</w:t>
      </w:r>
    </w:p>
    <w:p w:rsidR="00F32852" w:rsidRDefault="00F32852" w:rsidP="00F32852">
      <w:pPr>
        <w:pStyle w:val="Standard"/>
        <w:jc w:val="both"/>
        <w:rPr>
          <w:rFonts w:ascii="Calibri" w:hAnsi="Calibri"/>
        </w:rPr>
      </w:pPr>
    </w:p>
    <w:p w:rsidR="00F32852" w:rsidRPr="00E35A63" w:rsidRDefault="00F32852" w:rsidP="00F32852">
      <w:pPr>
        <w:pStyle w:val="Paragraphedeliste"/>
        <w:numPr>
          <w:ilvl w:val="0"/>
          <w:numId w:val="2"/>
        </w:numPr>
        <w:rPr>
          <w:color w:val="00B050"/>
          <w:sz w:val="24"/>
          <w:szCs w:val="24"/>
        </w:rPr>
      </w:pPr>
      <w:r w:rsidRPr="00E35A63">
        <w:rPr>
          <w:color w:val="00B050"/>
          <w:sz w:val="24"/>
          <w:szCs w:val="24"/>
        </w:rPr>
        <w:t>Après</w:t>
      </w:r>
    </w:p>
    <w:p w:rsidR="00F32852" w:rsidRPr="00AD09F7" w:rsidRDefault="00F32852" w:rsidP="00F32852">
      <w:pPr>
        <w:pStyle w:val="Standard"/>
        <w:jc w:val="both"/>
        <w:rPr>
          <w:rFonts w:asciiTheme="minorHAnsi" w:hAnsiTheme="minorHAnsi" w:cstheme="minorHAnsi"/>
        </w:rPr>
      </w:pPr>
      <w:r w:rsidRPr="00AD09F7">
        <w:rPr>
          <w:rFonts w:asciiTheme="minorHAnsi" w:hAnsiTheme="minorHAnsi" w:cstheme="minorHAnsi"/>
          <w:color w:val="00B050"/>
        </w:rPr>
        <w:t xml:space="preserve">Il est proposé d’ajouter : </w:t>
      </w:r>
      <w:r w:rsidRPr="00AD09F7">
        <w:rPr>
          <w:rFonts w:asciiTheme="minorHAnsi" w:hAnsiTheme="minorHAnsi" w:cstheme="minorHAnsi"/>
        </w:rPr>
        <w:t xml:space="preserve">« Les accès </w:t>
      </w:r>
      <w:r w:rsidRPr="00AD09F7">
        <w:rPr>
          <w:rFonts w:asciiTheme="minorHAnsi" w:hAnsiTheme="minorHAnsi" w:cstheme="minorHAnsi"/>
          <w:b/>
          <w:bCs/>
          <w:color w:val="00A933"/>
        </w:rPr>
        <w:t>et les voies</w:t>
      </w:r>
      <w:r w:rsidRPr="00AD09F7">
        <w:rPr>
          <w:rFonts w:asciiTheme="minorHAnsi" w:hAnsiTheme="minorHAnsi" w:cstheme="minorHAnsi"/>
        </w:rPr>
        <w:t xml:space="preserve"> doivent, en cas de division parcellaire, présenter une largeur minimale de 4 mètres pour un lot et de 5 mètres pour deux lots et plus »</w:t>
      </w:r>
    </w:p>
    <w:p w:rsidR="00F32852" w:rsidRDefault="00F32852" w:rsidP="00F32852">
      <w:pPr>
        <w:pStyle w:val="Corpsdetexte"/>
        <w:rPr>
          <w:highlight w:val="red"/>
        </w:rPr>
      </w:pPr>
    </w:p>
    <w:p w:rsidR="00E01C77" w:rsidRPr="00E35A63" w:rsidRDefault="00E01C77" w:rsidP="00F32852">
      <w:pPr>
        <w:pStyle w:val="Corpsdetexte"/>
        <w:rPr>
          <w:highlight w:val="red"/>
        </w:rPr>
      </w:pPr>
    </w:p>
    <w:p w:rsidR="00F32852" w:rsidRPr="00656424" w:rsidRDefault="00F32852" w:rsidP="00E01C77">
      <w:pPr>
        <w:pStyle w:val="Titre2"/>
      </w:pPr>
      <w:bookmarkStart w:id="1" w:name="_Toc31876966"/>
      <w:r>
        <w:t>Stationnement</w:t>
      </w:r>
      <w:r w:rsidRPr="00656424">
        <w:t xml:space="preserve"> : modification de l’article </w:t>
      </w:r>
      <w:r>
        <w:t>12</w:t>
      </w:r>
      <w:r w:rsidRPr="00656424">
        <w:t xml:space="preserve"> dans </w:t>
      </w:r>
      <w:r>
        <w:t xml:space="preserve">la zone </w:t>
      </w:r>
      <w:proofErr w:type="spellStart"/>
      <w:r>
        <w:t>Ub</w:t>
      </w:r>
      <w:bookmarkEnd w:id="1"/>
      <w:proofErr w:type="spellEnd"/>
    </w:p>
    <w:p w:rsidR="00F32852" w:rsidRPr="00E35A63" w:rsidRDefault="00F32852" w:rsidP="00F32852">
      <w:pPr>
        <w:pStyle w:val="Paragraphedeliste"/>
        <w:numPr>
          <w:ilvl w:val="0"/>
          <w:numId w:val="2"/>
        </w:numPr>
        <w:rPr>
          <w:sz w:val="24"/>
          <w:szCs w:val="24"/>
        </w:rPr>
      </w:pPr>
      <w:r w:rsidRPr="00E35A63">
        <w:rPr>
          <w:sz w:val="24"/>
          <w:szCs w:val="24"/>
        </w:rPr>
        <w:t>Avant</w:t>
      </w:r>
    </w:p>
    <w:p w:rsidR="00F32852" w:rsidRDefault="00F32852" w:rsidP="00F32852">
      <w:pPr>
        <w:jc w:val="both"/>
        <w:rPr>
          <w:rFonts w:ascii="Calibri" w:hAnsi="Calibri"/>
          <w:sz w:val="24"/>
          <w:szCs w:val="24"/>
        </w:rPr>
      </w:pPr>
      <w:r w:rsidRPr="00AD09F7">
        <w:rPr>
          <w:rFonts w:ascii="Calibri" w:hAnsi="Calibri"/>
          <w:sz w:val="24"/>
          <w:szCs w:val="24"/>
        </w:rPr>
        <w:t xml:space="preserve">« Les places de stationnement doivent être prévues en dehors des voies publiques […] Pour les collectifs : 1,5 place de stationnement par logement </w:t>
      </w:r>
      <w:r w:rsidRPr="00E06B71">
        <w:rPr>
          <w:rFonts w:ascii="Calibri" w:hAnsi="Calibri"/>
          <w:sz w:val="24"/>
          <w:szCs w:val="24"/>
        </w:rPr>
        <w:t xml:space="preserve">ou 1 place </w:t>
      </w:r>
      <w:r w:rsidRPr="00AD09F7">
        <w:rPr>
          <w:rFonts w:ascii="Calibri" w:hAnsi="Calibri"/>
          <w:sz w:val="24"/>
          <w:szCs w:val="24"/>
        </w:rPr>
        <w:t>de stationnement par logements locatifs sociaux, réparties en aire extérieure banalisée ou en aire intérieure tels que garage, stationnement souterrain ou couvert »</w:t>
      </w:r>
    </w:p>
    <w:p w:rsidR="00F32852" w:rsidRPr="00AD09F7" w:rsidRDefault="00F32852" w:rsidP="00F32852">
      <w:pPr>
        <w:pStyle w:val="Paragraphedeliste"/>
        <w:numPr>
          <w:ilvl w:val="0"/>
          <w:numId w:val="2"/>
        </w:numPr>
        <w:rPr>
          <w:color w:val="00B050"/>
          <w:sz w:val="24"/>
          <w:szCs w:val="24"/>
        </w:rPr>
      </w:pPr>
      <w:r w:rsidRPr="00AD09F7">
        <w:rPr>
          <w:color w:val="00B050"/>
          <w:sz w:val="24"/>
          <w:szCs w:val="24"/>
        </w:rPr>
        <w:t>Après</w:t>
      </w:r>
    </w:p>
    <w:p w:rsidR="00F32852" w:rsidRPr="00AD09F7" w:rsidRDefault="00F32852" w:rsidP="00F32852">
      <w:pPr>
        <w:jc w:val="both"/>
        <w:rPr>
          <w:i/>
          <w:color w:val="00B050"/>
          <w:sz w:val="24"/>
          <w:szCs w:val="24"/>
        </w:rPr>
      </w:pPr>
      <w:r w:rsidRPr="00AD09F7">
        <w:rPr>
          <w:color w:val="00B050"/>
          <w:sz w:val="24"/>
          <w:szCs w:val="24"/>
        </w:rPr>
        <w:t>Il est proposé d</w:t>
      </w:r>
      <w:r>
        <w:rPr>
          <w:color w:val="00B050"/>
          <w:sz w:val="24"/>
          <w:szCs w:val="24"/>
        </w:rPr>
        <w:t>’ajouter</w:t>
      </w:r>
      <w:r w:rsidRPr="00AD09F7">
        <w:rPr>
          <w:color w:val="00B050"/>
          <w:sz w:val="24"/>
          <w:szCs w:val="24"/>
        </w:rPr>
        <w:t xml:space="preserve"> : </w:t>
      </w:r>
      <w:r w:rsidRPr="00AD09F7">
        <w:rPr>
          <w:rFonts w:ascii="Calibri" w:hAnsi="Calibri"/>
          <w:sz w:val="24"/>
          <w:szCs w:val="24"/>
        </w:rPr>
        <w:t xml:space="preserve">« Les places de stationnement doivent être prévues en dehors des voies publiques […] Pour les collectifs : 1,5 place de stationnement par logement ou </w:t>
      </w:r>
      <w:r w:rsidRPr="00AD09F7">
        <w:rPr>
          <w:rFonts w:ascii="Calibri" w:hAnsi="Calibri"/>
          <w:bCs/>
          <w:sz w:val="24"/>
          <w:szCs w:val="24"/>
        </w:rPr>
        <w:t>1 place</w:t>
      </w:r>
      <w:r w:rsidRPr="00AD09F7">
        <w:rPr>
          <w:rFonts w:ascii="Calibri" w:hAnsi="Calibri"/>
          <w:sz w:val="24"/>
          <w:szCs w:val="24"/>
        </w:rPr>
        <w:t xml:space="preserve"> de stationnement par logements locatifs sociaux, réparties en aire extérieure banalisée ou en aire intérieure tels que garage, stationnement souterrain ou couvert. </w:t>
      </w:r>
      <w:r w:rsidRPr="00AD09F7">
        <w:rPr>
          <w:rFonts w:ascii="Calibri" w:hAnsi="Calibri"/>
          <w:b/>
          <w:color w:val="00B050"/>
          <w:sz w:val="24"/>
          <w:szCs w:val="24"/>
        </w:rPr>
        <w:t>Dans le cadre exclusif de la ZAC du Triangle des Canaux,</w:t>
      </w:r>
      <w:r>
        <w:rPr>
          <w:rFonts w:ascii="Calibri" w:hAnsi="Calibri"/>
          <w:b/>
          <w:color w:val="00B050"/>
          <w:sz w:val="24"/>
          <w:szCs w:val="24"/>
        </w:rPr>
        <w:t xml:space="preserve"> en raison d’impératifs techniques,</w:t>
      </w:r>
      <w:r w:rsidRPr="00AD09F7">
        <w:rPr>
          <w:rFonts w:ascii="Calibri" w:hAnsi="Calibri"/>
          <w:b/>
          <w:color w:val="00B050"/>
          <w:sz w:val="24"/>
          <w:szCs w:val="24"/>
        </w:rPr>
        <w:t xml:space="preserve"> le nombre</w:t>
      </w:r>
      <w:r>
        <w:rPr>
          <w:rFonts w:ascii="Calibri" w:hAnsi="Calibri"/>
          <w:b/>
          <w:color w:val="00B050"/>
          <w:sz w:val="24"/>
          <w:szCs w:val="24"/>
        </w:rPr>
        <w:t xml:space="preserve"> moyen</w:t>
      </w:r>
      <w:r w:rsidRPr="00AD09F7">
        <w:rPr>
          <w:rFonts w:ascii="Calibri" w:hAnsi="Calibri"/>
          <w:b/>
          <w:color w:val="00B050"/>
          <w:sz w:val="24"/>
          <w:szCs w:val="24"/>
        </w:rPr>
        <w:t xml:space="preserve"> de place de stationnement par logements locatifs sociaux exigé pourra être compris entre 0 et 1 place</w:t>
      </w:r>
      <w:r w:rsidRPr="00AD09F7">
        <w:rPr>
          <w:rFonts w:ascii="Calibri" w:hAnsi="Calibri"/>
          <w:color w:val="00B050"/>
          <w:sz w:val="24"/>
          <w:szCs w:val="24"/>
        </w:rPr>
        <w:t xml:space="preserve"> </w:t>
      </w:r>
      <w:r w:rsidRPr="00AD09F7">
        <w:rPr>
          <w:rFonts w:ascii="Calibri" w:hAnsi="Calibri"/>
          <w:sz w:val="24"/>
          <w:szCs w:val="24"/>
        </w:rPr>
        <w:t>»</w:t>
      </w:r>
    </w:p>
    <w:p w:rsidR="00F32852" w:rsidRDefault="00F32852" w:rsidP="00F32852">
      <w:pPr>
        <w:pStyle w:val="Corpsdetexte"/>
        <w:rPr>
          <w:highlight w:val="red"/>
        </w:rPr>
      </w:pPr>
    </w:p>
    <w:p w:rsidR="00E01C77" w:rsidRDefault="00E01C77" w:rsidP="00F32852">
      <w:pPr>
        <w:pStyle w:val="Corpsdetexte"/>
        <w:rPr>
          <w:highlight w:val="red"/>
        </w:rPr>
      </w:pPr>
    </w:p>
    <w:p w:rsidR="00E01C77" w:rsidRPr="00E35A63" w:rsidRDefault="00E01C77" w:rsidP="00F32852">
      <w:pPr>
        <w:pStyle w:val="Corpsdetexte"/>
        <w:rPr>
          <w:highlight w:val="red"/>
        </w:rPr>
      </w:pPr>
    </w:p>
    <w:p w:rsidR="00F32852" w:rsidRPr="00656424" w:rsidRDefault="00F32852" w:rsidP="00E01C77">
      <w:pPr>
        <w:pStyle w:val="Titre2"/>
      </w:pPr>
      <w:bookmarkStart w:id="2" w:name="_Toc31876967"/>
      <w:r>
        <w:t>Implantation des abris</w:t>
      </w:r>
      <w:r w:rsidRPr="00656424">
        <w:t xml:space="preserve"> : modification de l’article </w:t>
      </w:r>
      <w:r>
        <w:t>6</w:t>
      </w:r>
      <w:r w:rsidRPr="00656424">
        <w:t xml:space="preserve"> dans </w:t>
      </w:r>
      <w:r>
        <w:t>toutes les zones</w:t>
      </w:r>
      <w:bookmarkEnd w:id="2"/>
    </w:p>
    <w:p w:rsidR="00F32852" w:rsidRPr="00CE7696" w:rsidRDefault="00F32852" w:rsidP="00F32852">
      <w:pPr>
        <w:pStyle w:val="Paragraphedeliste"/>
        <w:numPr>
          <w:ilvl w:val="0"/>
          <w:numId w:val="2"/>
        </w:numPr>
        <w:rPr>
          <w:sz w:val="24"/>
          <w:szCs w:val="24"/>
        </w:rPr>
      </w:pPr>
      <w:r w:rsidRPr="00CE7696">
        <w:rPr>
          <w:sz w:val="24"/>
          <w:szCs w:val="24"/>
        </w:rPr>
        <w:t>Avant</w:t>
      </w:r>
    </w:p>
    <w:p w:rsidR="00F32852" w:rsidRDefault="00F32852" w:rsidP="00F3285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 Les abris </w:t>
      </w:r>
      <w:r w:rsidRPr="00E06B71">
        <w:rPr>
          <w:color w:val="FF0000"/>
          <w:sz w:val="24"/>
          <w:szCs w:val="24"/>
        </w:rPr>
        <w:t xml:space="preserve">de jardin </w:t>
      </w:r>
      <w:r>
        <w:rPr>
          <w:sz w:val="24"/>
          <w:szCs w:val="24"/>
        </w:rPr>
        <w:t>doivent être implantés à 3 mètres minimum des voies publiques et emprises publiques »</w:t>
      </w:r>
    </w:p>
    <w:p w:rsidR="00F32852" w:rsidRPr="005B40F9" w:rsidRDefault="00F32852" w:rsidP="00F32852">
      <w:pPr>
        <w:jc w:val="both"/>
        <w:rPr>
          <w:sz w:val="24"/>
          <w:szCs w:val="24"/>
        </w:rPr>
      </w:pPr>
    </w:p>
    <w:p w:rsidR="00F32852" w:rsidRPr="00CE7696" w:rsidRDefault="00F32852" w:rsidP="00F32852">
      <w:pPr>
        <w:pStyle w:val="Paragraphedeliste"/>
        <w:numPr>
          <w:ilvl w:val="0"/>
          <w:numId w:val="2"/>
        </w:numPr>
        <w:rPr>
          <w:color w:val="00B050"/>
          <w:sz w:val="24"/>
          <w:szCs w:val="24"/>
        </w:rPr>
      </w:pPr>
      <w:r w:rsidRPr="00CE7696">
        <w:rPr>
          <w:color w:val="00B050"/>
          <w:sz w:val="24"/>
          <w:szCs w:val="24"/>
        </w:rPr>
        <w:t>Après</w:t>
      </w:r>
    </w:p>
    <w:p w:rsidR="00F32852" w:rsidRDefault="00F32852" w:rsidP="00F32852">
      <w:pPr>
        <w:jc w:val="both"/>
        <w:rPr>
          <w:sz w:val="24"/>
          <w:szCs w:val="24"/>
        </w:rPr>
      </w:pPr>
      <w:r w:rsidRPr="005B40F9">
        <w:rPr>
          <w:color w:val="00B050"/>
          <w:sz w:val="24"/>
          <w:szCs w:val="24"/>
        </w:rPr>
        <w:t xml:space="preserve">Il est proposé </w:t>
      </w:r>
      <w:r>
        <w:rPr>
          <w:color w:val="00B050"/>
          <w:sz w:val="24"/>
          <w:szCs w:val="24"/>
        </w:rPr>
        <w:t>de faire évoluer la règle par la suppression de la notion de « jardin »</w:t>
      </w:r>
      <w:r w:rsidRPr="005B40F9">
        <w:rPr>
          <w:color w:val="00B050"/>
          <w:sz w:val="24"/>
          <w:szCs w:val="24"/>
        </w:rPr>
        <w:t> :</w:t>
      </w:r>
      <w:r>
        <w:rPr>
          <w:color w:val="00B050"/>
          <w:sz w:val="24"/>
          <w:szCs w:val="24"/>
        </w:rPr>
        <w:t xml:space="preserve"> </w:t>
      </w:r>
      <w:r>
        <w:rPr>
          <w:sz w:val="24"/>
          <w:szCs w:val="24"/>
        </w:rPr>
        <w:t>« Les abris doivent être implantés à 3 mètres minimum des voies publiques et emprises publiques »</w:t>
      </w:r>
    </w:p>
    <w:p w:rsidR="00E01C77" w:rsidRDefault="00E01C77" w:rsidP="00F32852">
      <w:pPr>
        <w:jc w:val="both"/>
        <w:rPr>
          <w:sz w:val="24"/>
          <w:szCs w:val="24"/>
        </w:rPr>
      </w:pPr>
    </w:p>
    <w:p w:rsidR="00E01C77" w:rsidRDefault="00E01C77" w:rsidP="00F32852">
      <w:pPr>
        <w:jc w:val="both"/>
        <w:rPr>
          <w:sz w:val="24"/>
          <w:szCs w:val="24"/>
        </w:rPr>
      </w:pPr>
    </w:p>
    <w:p w:rsidR="00F32852" w:rsidRPr="00656424" w:rsidRDefault="00F32852" w:rsidP="00E01C77">
      <w:pPr>
        <w:pStyle w:val="Titre2"/>
      </w:pPr>
      <w:bookmarkStart w:id="3" w:name="_Toc31876968"/>
      <w:r>
        <w:t>Implantation des abris</w:t>
      </w:r>
      <w:r w:rsidRPr="00656424">
        <w:t xml:space="preserve"> : modification de l’article </w:t>
      </w:r>
      <w:r>
        <w:t>7</w:t>
      </w:r>
      <w:r w:rsidRPr="00656424">
        <w:t xml:space="preserve"> dans </w:t>
      </w:r>
      <w:r>
        <w:t>toutes les zones</w:t>
      </w:r>
      <w:bookmarkEnd w:id="3"/>
    </w:p>
    <w:p w:rsidR="00F32852" w:rsidRPr="00CE7696" w:rsidRDefault="00F32852" w:rsidP="00F32852">
      <w:pPr>
        <w:pStyle w:val="Paragraphedeliste"/>
        <w:numPr>
          <w:ilvl w:val="0"/>
          <w:numId w:val="2"/>
        </w:numPr>
        <w:rPr>
          <w:sz w:val="24"/>
          <w:szCs w:val="24"/>
        </w:rPr>
      </w:pPr>
      <w:r w:rsidRPr="00CE7696">
        <w:rPr>
          <w:sz w:val="24"/>
          <w:szCs w:val="24"/>
        </w:rPr>
        <w:t>Avant</w:t>
      </w:r>
    </w:p>
    <w:p w:rsidR="00F32852" w:rsidRPr="005B40F9" w:rsidRDefault="00F32852" w:rsidP="00F3285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 Concernant les abris </w:t>
      </w:r>
      <w:r>
        <w:rPr>
          <w:color w:val="FF0000"/>
          <w:sz w:val="24"/>
          <w:szCs w:val="24"/>
        </w:rPr>
        <w:t>de jardin</w:t>
      </w:r>
      <w:r w:rsidRPr="00E10721">
        <w:rPr>
          <w:sz w:val="24"/>
          <w:szCs w:val="24"/>
        </w:rPr>
        <w:t>, ils peuvent également s’implanter à une</w:t>
      </w:r>
      <w:r>
        <w:rPr>
          <w:sz w:val="24"/>
          <w:szCs w:val="24"/>
        </w:rPr>
        <w:t xml:space="preserve"> distance de 1 mètre de toute l</w:t>
      </w:r>
      <w:r w:rsidRPr="00E10721">
        <w:rPr>
          <w:sz w:val="24"/>
          <w:szCs w:val="24"/>
        </w:rPr>
        <w:t>imite séparative </w:t>
      </w:r>
      <w:r>
        <w:rPr>
          <w:sz w:val="24"/>
          <w:szCs w:val="24"/>
        </w:rPr>
        <w:t>»</w:t>
      </w:r>
    </w:p>
    <w:p w:rsidR="00F32852" w:rsidRPr="00CE7696" w:rsidRDefault="00F32852" w:rsidP="00F32852">
      <w:pPr>
        <w:pStyle w:val="Paragraphedeliste"/>
        <w:numPr>
          <w:ilvl w:val="0"/>
          <w:numId w:val="2"/>
        </w:numPr>
        <w:rPr>
          <w:color w:val="00B050"/>
          <w:sz w:val="24"/>
          <w:szCs w:val="24"/>
        </w:rPr>
      </w:pPr>
      <w:r w:rsidRPr="00CE7696">
        <w:rPr>
          <w:color w:val="00B050"/>
          <w:sz w:val="24"/>
          <w:szCs w:val="24"/>
        </w:rPr>
        <w:t>Après</w:t>
      </w:r>
    </w:p>
    <w:p w:rsidR="00F32852" w:rsidRDefault="00F32852" w:rsidP="00F32852">
      <w:pPr>
        <w:jc w:val="both"/>
        <w:rPr>
          <w:sz w:val="24"/>
          <w:szCs w:val="24"/>
        </w:rPr>
      </w:pPr>
      <w:r w:rsidRPr="005B40F9">
        <w:rPr>
          <w:color w:val="00B050"/>
          <w:sz w:val="24"/>
          <w:szCs w:val="24"/>
        </w:rPr>
        <w:t xml:space="preserve">Il est proposé </w:t>
      </w:r>
      <w:r>
        <w:rPr>
          <w:color w:val="00B050"/>
          <w:sz w:val="24"/>
          <w:szCs w:val="24"/>
        </w:rPr>
        <w:t>de faire évoluer la règle par la suppression de la notion de « jardin »</w:t>
      </w:r>
      <w:r w:rsidRPr="005B40F9">
        <w:rPr>
          <w:color w:val="00B050"/>
          <w:sz w:val="24"/>
          <w:szCs w:val="24"/>
        </w:rPr>
        <w:t> :</w:t>
      </w:r>
      <w:r>
        <w:rPr>
          <w:color w:val="00B050"/>
          <w:sz w:val="24"/>
          <w:szCs w:val="24"/>
        </w:rPr>
        <w:t xml:space="preserve"> </w:t>
      </w:r>
      <w:r>
        <w:rPr>
          <w:sz w:val="24"/>
          <w:szCs w:val="24"/>
        </w:rPr>
        <w:t>« Concernant les abris,</w:t>
      </w:r>
      <w:r w:rsidRPr="00E10721">
        <w:rPr>
          <w:sz w:val="24"/>
          <w:szCs w:val="24"/>
        </w:rPr>
        <w:t xml:space="preserve"> ils peuvent également s’implanter à une distance de 1 mètre de toute limite séparative </w:t>
      </w:r>
      <w:r>
        <w:rPr>
          <w:sz w:val="24"/>
          <w:szCs w:val="24"/>
        </w:rPr>
        <w:t>»</w:t>
      </w:r>
    </w:p>
    <w:p w:rsidR="00F32852" w:rsidRDefault="00F32852" w:rsidP="00F32852">
      <w:pPr>
        <w:jc w:val="both"/>
        <w:rPr>
          <w:sz w:val="24"/>
          <w:szCs w:val="24"/>
        </w:rPr>
      </w:pPr>
    </w:p>
    <w:p w:rsidR="00E01C77" w:rsidRDefault="00E01C77" w:rsidP="00F32852">
      <w:pPr>
        <w:jc w:val="both"/>
        <w:rPr>
          <w:sz w:val="24"/>
          <w:szCs w:val="24"/>
        </w:rPr>
      </w:pPr>
    </w:p>
    <w:p w:rsidR="00F32852" w:rsidRPr="00656424" w:rsidRDefault="00F32852" w:rsidP="00E01C77">
      <w:pPr>
        <w:pStyle w:val="Titre2"/>
      </w:pPr>
      <w:bookmarkStart w:id="4" w:name="_Toc31876969"/>
      <w:r>
        <w:t>Aspect extérieur des constructions</w:t>
      </w:r>
      <w:r w:rsidRPr="00656424">
        <w:t xml:space="preserve"> : </w:t>
      </w:r>
      <w:r>
        <w:t>Modification du chapeau introductif de l’article 11 commun à toutes les zones</w:t>
      </w:r>
      <w:bookmarkEnd w:id="4"/>
    </w:p>
    <w:p w:rsidR="00F32852" w:rsidRPr="00CE7696" w:rsidRDefault="00F32852" w:rsidP="00F32852">
      <w:pPr>
        <w:pStyle w:val="Paragraphedeliste"/>
        <w:numPr>
          <w:ilvl w:val="0"/>
          <w:numId w:val="2"/>
        </w:numPr>
        <w:rPr>
          <w:sz w:val="24"/>
          <w:szCs w:val="24"/>
        </w:rPr>
      </w:pPr>
      <w:r w:rsidRPr="00CE7696">
        <w:rPr>
          <w:sz w:val="24"/>
          <w:szCs w:val="24"/>
        </w:rPr>
        <w:t>Avant</w:t>
      </w:r>
    </w:p>
    <w:p w:rsidR="00F32852" w:rsidRDefault="00F32852" w:rsidP="00F32852">
      <w:pPr>
        <w:jc w:val="both"/>
        <w:rPr>
          <w:sz w:val="24"/>
          <w:szCs w:val="24"/>
        </w:rPr>
      </w:pPr>
      <w:r>
        <w:rPr>
          <w:sz w:val="24"/>
          <w:szCs w:val="24"/>
        </w:rPr>
        <w:t>« D’une manière générale, les constructions doivent présenter une simplicité de volume et une unité d’aspect mettant en valeur les caractéristiques et les matériaux traditionnels de la région.</w:t>
      </w:r>
      <w:r w:rsidRPr="00E10721">
        <w:rPr>
          <w:sz w:val="24"/>
          <w:szCs w:val="24"/>
        </w:rPr>
        <w:t> </w:t>
      </w:r>
      <w:r>
        <w:rPr>
          <w:sz w:val="24"/>
          <w:szCs w:val="24"/>
        </w:rPr>
        <w:t>»</w:t>
      </w:r>
    </w:p>
    <w:p w:rsidR="00E01C77" w:rsidRDefault="00E01C77" w:rsidP="00F32852">
      <w:pPr>
        <w:jc w:val="both"/>
        <w:rPr>
          <w:sz w:val="24"/>
          <w:szCs w:val="24"/>
        </w:rPr>
      </w:pPr>
    </w:p>
    <w:p w:rsidR="00E01C77" w:rsidRPr="005B40F9" w:rsidRDefault="00E01C77" w:rsidP="00F32852">
      <w:pPr>
        <w:jc w:val="both"/>
        <w:rPr>
          <w:sz w:val="24"/>
          <w:szCs w:val="24"/>
        </w:rPr>
      </w:pPr>
    </w:p>
    <w:p w:rsidR="00F32852" w:rsidRPr="00CE7696" w:rsidRDefault="00F32852" w:rsidP="00F32852">
      <w:pPr>
        <w:pStyle w:val="Paragraphedeliste"/>
        <w:numPr>
          <w:ilvl w:val="0"/>
          <w:numId w:val="2"/>
        </w:numPr>
        <w:rPr>
          <w:color w:val="00B050"/>
          <w:sz w:val="24"/>
          <w:szCs w:val="24"/>
        </w:rPr>
      </w:pPr>
      <w:r w:rsidRPr="00CE7696">
        <w:rPr>
          <w:color w:val="00B050"/>
          <w:sz w:val="24"/>
          <w:szCs w:val="24"/>
        </w:rPr>
        <w:t>Après</w:t>
      </w:r>
    </w:p>
    <w:p w:rsidR="00F32852" w:rsidRDefault="00F32852" w:rsidP="00F32852">
      <w:pPr>
        <w:jc w:val="both"/>
        <w:rPr>
          <w:sz w:val="24"/>
          <w:szCs w:val="24"/>
        </w:rPr>
      </w:pPr>
      <w:r w:rsidRPr="005B40F9">
        <w:rPr>
          <w:color w:val="00B050"/>
          <w:sz w:val="24"/>
          <w:szCs w:val="24"/>
        </w:rPr>
        <w:t xml:space="preserve">Il est proposé </w:t>
      </w:r>
      <w:r>
        <w:rPr>
          <w:color w:val="00B050"/>
          <w:sz w:val="24"/>
          <w:szCs w:val="24"/>
        </w:rPr>
        <w:t>d’ajouter</w:t>
      </w:r>
      <w:r w:rsidRPr="005B40F9">
        <w:rPr>
          <w:color w:val="00B050"/>
          <w:sz w:val="24"/>
          <w:szCs w:val="24"/>
        </w:rPr>
        <w:t> :</w:t>
      </w:r>
      <w:r>
        <w:rPr>
          <w:color w:val="00B050"/>
          <w:sz w:val="24"/>
          <w:szCs w:val="24"/>
        </w:rPr>
        <w:t xml:space="preserve"> </w:t>
      </w:r>
      <w:r>
        <w:rPr>
          <w:sz w:val="24"/>
          <w:szCs w:val="24"/>
        </w:rPr>
        <w:t xml:space="preserve">« D’une manière générale, les constructions doivent présenter une simplicité de volume et une unité d’aspect mettant en valeur les caractéristiques et les matériaux traditionnels de la région. </w:t>
      </w:r>
      <w:r w:rsidRPr="00B367A6">
        <w:rPr>
          <w:color w:val="00B050"/>
          <w:sz w:val="24"/>
          <w:szCs w:val="24"/>
        </w:rPr>
        <w:t xml:space="preserve">Les </w:t>
      </w:r>
      <w:r>
        <w:rPr>
          <w:color w:val="00B050"/>
          <w:sz w:val="24"/>
          <w:szCs w:val="24"/>
        </w:rPr>
        <w:t>constructions</w:t>
      </w:r>
      <w:r w:rsidRPr="00B367A6">
        <w:rPr>
          <w:color w:val="00B050"/>
          <w:sz w:val="24"/>
          <w:szCs w:val="24"/>
        </w:rPr>
        <w:t xml:space="preserve"> </w:t>
      </w:r>
      <w:r>
        <w:rPr>
          <w:color w:val="00B050"/>
          <w:sz w:val="24"/>
          <w:szCs w:val="24"/>
        </w:rPr>
        <w:t xml:space="preserve">ou installations </w:t>
      </w:r>
      <w:r w:rsidRPr="00B367A6">
        <w:rPr>
          <w:color w:val="00B050"/>
          <w:sz w:val="24"/>
          <w:szCs w:val="24"/>
        </w:rPr>
        <w:t>en tôle et fibrociment sont interdit</w:t>
      </w:r>
      <w:r>
        <w:rPr>
          <w:color w:val="00B050"/>
          <w:sz w:val="24"/>
          <w:szCs w:val="24"/>
        </w:rPr>
        <w:t>e</w:t>
      </w:r>
      <w:r w:rsidRPr="00B367A6">
        <w:rPr>
          <w:color w:val="00B050"/>
          <w:sz w:val="24"/>
          <w:szCs w:val="24"/>
        </w:rPr>
        <w:t>s </w:t>
      </w:r>
      <w:r>
        <w:rPr>
          <w:sz w:val="24"/>
          <w:szCs w:val="24"/>
        </w:rPr>
        <w:t>»</w:t>
      </w:r>
    </w:p>
    <w:p w:rsidR="00F32852" w:rsidRDefault="00F32852" w:rsidP="00F32852">
      <w:pPr>
        <w:jc w:val="both"/>
        <w:rPr>
          <w:sz w:val="24"/>
          <w:szCs w:val="24"/>
        </w:rPr>
      </w:pPr>
    </w:p>
    <w:p w:rsidR="00E01C77" w:rsidRDefault="00E01C77" w:rsidP="00F32852">
      <w:pPr>
        <w:jc w:val="both"/>
        <w:rPr>
          <w:sz w:val="24"/>
          <w:szCs w:val="24"/>
        </w:rPr>
      </w:pPr>
    </w:p>
    <w:p w:rsidR="00F32852" w:rsidRPr="000510D3" w:rsidRDefault="00F32852" w:rsidP="00E01C77">
      <w:pPr>
        <w:pStyle w:val="Titre2"/>
      </w:pPr>
      <w:bookmarkStart w:id="5" w:name="_Toc31876970"/>
      <w:r w:rsidRPr="000510D3">
        <w:lastRenderedPageBreak/>
        <w:t xml:space="preserve">Aspect extérieur des constructions : Modification du point 4 relatif aux couleurs et toitures des </w:t>
      </w:r>
      <w:r w:rsidRPr="000510D3">
        <w:rPr>
          <w:i/>
        </w:rPr>
        <w:t>« bâtiments annexes (garages-abris) – extensions »</w:t>
      </w:r>
      <w:r w:rsidRPr="000510D3">
        <w:t xml:space="preserve"> de l’article 11 commun à toutes les zones</w:t>
      </w:r>
      <w:bookmarkEnd w:id="5"/>
    </w:p>
    <w:p w:rsidR="00F32852" w:rsidRPr="00CE7696" w:rsidRDefault="00F32852" w:rsidP="00F32852">
      <w:pPr>
        <w:pStyle w:val="Paragraphedeliste"/>
        <w:numPr>
          <w:ilvl w:val="0"/>
          <w:numId w:val="2"/>
        </w:numPr>
        <w:rPr>
          <w:sz w:val="24"/>
          <w:szCs w:val="24"/>
        </w:rPr>
      </w:pPr>
      <w:r w:rsidRPr="00CE7696">
        <w:rPr>
          <w:sz w:val="24"/>
          <w:szCs w:val="24"/>
        </w:rPr>
        <w:t>Avant</w:t>
      </w:r>
    </w:p>
    <w:p w:rsidR="00F32852" w:rsidRDefault="00F32852" w:rsidP="00F3285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« Les bâtiments annexes d’une surface de plancher supérieure à 10m² ainsi que les extensions des bâtiments existants doivent être réalisés avec les mêmes matériaux que ceux du bâtiment principal.</w:t>
      </w:r>
    </w:p>
    <w:p w:rsidR="00F32852" w:rsidRDefault="00F32852" w:rsidP="00F3285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Les bâtiments annexes </w:t>
      </w:r>
      <w:r w:rsidRPr="00A14EED">
        <w:rPr>
          <w:color w:val="FF0000"/>
          <w:sz w:val="24"/>
          <w:szCs w:val="24"/>
        </w:rPr>
        <w:t xml:space="preserve">(garages – abris) </w:t>
      </w:r>
      <w:r>
        <w:rPr>
          <w:sz w:val="24"/>
          <w:szCs w:val="24"/>
        </w:rPr>
        <w:t>en tôle, ou fibrociment sont interdits.</w:t>
      </w:r>
    </w:p>
    <w:p w:rsidR="00F32852" w:rsidRDefault="00F32852" w:rsidP="00F32852">
      <w:pPr>
        <w:spacing w:after="0"/>
        <w:jc w:val="both"/>
        <w:rPr>
          <w:sz w:val="24"/>
          <w:szCs w:val="24"/>
        </w:rPr>
      </w:pPr>
      <w:r w:rsidRPr="00A14EED">
        <w:rPr>
          <w:color w:val="FF0000"/>
          <w:sz w:val="24"/>
          <w:szCs w:val="24"/>
        </w:rPr>
        <w:t xml:space="preserve">Les abris de jardin dont l’emprise au sol est inférieure à 15m² pourront toutefois </w:t>
      </w:r>
      <w:r>
        <w:rPr>
          <w:sz w:val="24"/>
          <w:szCs w:val="24"/>
        </w:rPr>
        <w:t>être réalisés avec des matériaux différents (</w:t>
      </w:r>
      <w:r w:rsidRPr="000A4167">
        <w:rPr>
          <w:sz w:val="24"/>
          <w:szCs w:val="24"/>
        </w:rPr>
        <w:t>bois</w:t>
      </w:r>
      <w:r>
        <w:rPr>
          <w:sz w:val="24"/>
          <w:szCs w:val="24"/>
        </w:rPr>
        <w:t>, shingle, bardeau d’asphalte, feutre bitumineux, plastimétal) à condition que :</w:t>
      </w:r>
    </w:p>
    <w:p w:rsidR="00F32852" w:rsidRDefault="00F32852" w:rsidP="00F32852">
      <w:pPr>
        <w:pStyle w:val="Paragraphedeliste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la toiture soit de couleur rouge ;</w:t>
      </w:r>
    </w:p>
    <w:p w:rsidR="00F32852" w:rsidRDefault="00F32852" w:rsidP="00F32852">
      <w:pPr>
        <w:pStyle w:val="Paragraphedeliste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l’ensemble de la construction (aspect, volume, couleur) s’intègre dans l’environnement bâti existant.</w:t>
      </w:r>
    </w:p>
    <w:p w:rsidR="00F32852" w:rsidRPr="002F17FE" w:rsidRDefault="00F32852" w:rsidP="00F32852">
      <w:pPr>
        <w:jc w:val="both"/>
        <w:rPr>
          <w:sz w:val="24"/>
          <w:szCs w:val="24"/>
        </w:rPr>
      </w:pPr>
      <w:r>
        <w:rPr>
          <w:sz w:val="24"/>
          <w:szCs w:val="24"/>
        </w:rPr>
        <w:t>Ces dispositions ne s’appliquent pas aux vérandas.</w:t>
      </w:r>
      <w:r w:rsidRPr="002F17FE">
        <w:rPr>
          <w:sz w:val="24"/>
          <w:szCs w:val="24"/>
        </w:rPr>
        <w:t> »</w:t>
      </w:r>
    </w:p>
    <w:p w:rsidR="00F32852" w:rsidRPr="00CE7696" w:rsidRDefault="00F32852" w:rsidP="00F32852">
      <w:pPr>
        <w:pStyle w:val="Paragraphedeliste"/>
        <w:numPr>
          <w:ilvl w:val="0"/>
          <w:numId w:val="2"/>
        </w:numPr>
        <w:rPr>
          <w:color w:val="00B050"/>
          <w:sz w:val="24"/>
          <w:szCs w:val="24"/>
        </w:rPr>
      </w:pPr>
      <w:r w:rsidRPr="00CE7696">
        <w:rPr>
          <w:color w:val="00B050"/>
          <w:sz w:val="24"/>
          <w:szCs w:val="24"/>
        </w:rPr>
        <w:t>Après</w:t>
      </w:r>
    </w:p>
    <w:p w:rsidR="00F32852" w:rsidRDefault="00F32852" w:rsidP="00F32852">
      <w:pPr>
        <w:jc w:val="both"/>
        <w:rPr>
          <w:color w:val="00B050"/>
          <w:sz w:val="24"/>
          <w:szCs w:val="24"/>
        </w:rPr>
      </w:pPr>
      <w:r w:rsidRPr="005B40F9">
        <w:rPr>
          <w:color w:val="00B050"/>
          <w:sz w:val="24"/>
          <w:szCs w:val="24"/>
        </w:rPr>
        <w:t xml:space="preserve">Il est proposé </w:t>
      </w:r>
      <w:r>
        <w:rPr>
          <w:color w:val="00B050"/>
          <w:sz w:val="24"/>
          <w:szCs w:val="24"/>
        </w:rPr>
        <w:t>de clarifier la règle comme suit</w:t>
      </w:r>
      <w:r w:rsidRPr="005B40F9">
        <w:rPr>
          <w:color w:val="00B050"/>
          <w:sz w:val="24"/>
          <w:szCs w:val="24"/>
        </w:rPr>
        <w:t> :</w:t>
      </w:r>
      <w:r>
        <w:rPr>
          <w:color w:val="00B050"/>
          <w:sz w:val="24"/>
          <w:szCs w:val="24"/>
        </w:rPr>
        <w:t xml:space="preserve"> </w:t>
      </w:r>
    </w:p>
    <w:p w:rsidR="00F32852" w:rsidRDefault="00F32852" w:rsidP="00F3285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« Les bâtiments annexes d’une surface de plancher supérieure à 10m² ainsi que les extensions des bâtiments existants doivent être réalisés avec les mêmes matériaux que ceux du bâtiment principal.</w:t>
      </w:r>
    </w:p>
    <w:p w:rsidR="00F32852" w:rsidRPr="00786382" w:rsidRDefault="00F32852" w:rsidP="00F32852">
      <w:pPr>
        <w:pStyle w:val="Default"/>
        <w:jc w:val="both"/>
        <w:rPr>
          <w:rFonts w:asciiTheme="minorHAnsi" w:hAnsiTheme="minorHAnsi" w:cstheme="minorHAnsi"/>
        </w:rPr>
      </w:pPr>
      <w:r w:rsidRPr="004C0828">
        <w:rPr>
          <w:rFonts w:asciiTheme="minorHAnsi" w:hAnsiTheme="minorHAnsi" w:cstheme="minorHAnsi"/>
          <w:color w:val="00B050"/>
        </w:rPr>
        <w:t xml:space="preserve">Les toitures </w:t>
      </w:r>
      <w:r w:rsidRPr="00786382">
        <w:rPr>
          <w:rFonts w:asciiTheme="minorHAnsi" w:hAnsiTheme="minorHAnsi" w:cstheme="minorHAnsi"/>
        </w:rPr>
        <w:t xml:space="preserve">des bâtiments annexes en tôle, ou fibrociment sont interdites. </w:t>
      </w:r>
    </w:p>
    <w:p w:rsidR="00F32852" w:rsidRPr="00786382" w:rsidRDefault="00F32852" w:rsidP="00F32852">
      <w:pPr>
        <w:pStyle w:val="Default"/>
        <w:jc w:val="both"/>
        <w:rPr>
          <w:rFonts w:asciiTheme="minorHAnsi" w:hAnsiTheme="minorHAnsi" w:cstheme="minorHAnsi"/>
        </w:rPr>
      </w:pPr>
      <w:r w:rsidRPr="00A14EED">
        <w:rPr>
          <w:rFonts w:asciiTheme="minorHAnsi" w:hAnsiTheme="minorHAnsi" w:cstheme="minorHAnsi"/>
          <w:color w:val="00B050"/>
        </w:rPr>
        <w:t xml:space="preserve">Les toitures des bâtiments annexes pourront être réalisées </w:t>
      </w:r>
      <w:r w:rsidRPr="00786382">
        <w:rPr>
          <w:rFonts w:asciiTheme="minorHAnsi" w:hAnsiTheme="minorHAnsi" w:cstheme="minorHAnsi"/>
        </w:rPr>
        <w:t>avec des matériaux différents de la tuile (</w:t>
      </w:r>
      <w:r>
        <w:rPr>
          <w:rFonts w:asciiTheme="minorHAnsi" w:hAnsiTheme="minorHAnsi" w:cstheme="minorHAnsi"/>
        </w:rPr>
        <w:t xml:space="preserve">bois, </w:t>
      </w:r>
      <w:r w:rsidRPr="00786382">
        <w:rPr>
          <w:rFonts w:asciiTheme="minorHAnsi" w:hAnsiTheme="minorHAnsi" w:cstheme="minorHAnsi"/>
        </w:rPr>
        <w:t xml:space="preserve">shingle, bardeau d'asphalte, feutre bitumineux, plastimétal, </w:t>
      </w:r>
      <w:r w:rsidRPr="00A14EED">
        <w:rPr>
          <w:rFonts w:asciiTheme="minorHAnsi" w:hAnsiTheme="minorHAnsi" w:cstheme="minorHAnsi"/>
          <w:color w:val="00B050"/>
        </w:rPr>
        <w:t>résine</w:t>
      </w:r>
      <w:r w:rsidRPr="00786382">
        <w:rPr>
          <w:rFonts w:asciiTheme="minorHAnsi" w:hAnsiTheme="minorHAnsi" w:cstheme="minorHAnsi"/>
        </w:rPr>
        <w:t>) à condition que</w:t>
      </w:r>
      <w:r>
        <w:rPr>
          <w:rFonts w:asciiTheme="minorHAnsi" w:hAnsiTheme="minorHAnsi" w:cstheme="minorHAnsi"/>
        </w:rPr>
        <w:t> :</w:t>
      </w:r>
    </w:p>
    <w:p w:rsidR="00F32852" w:rsidRPr="00A14EED" w:rsidRDefault="00F32852" w:rsidP="00F32852">
      <w:pPr>
        <w:pStyle w:val="Default"/>
        <w:jc w:val="both"/>
        <w:rPr>
          <w:rFonts w:asciiTheme="minorHAnsi" w:hAnsiTheme="minorHAnsi" w:cstheme="minorHAnsi"/>
          <w:color w:val="00B050"/>
        </w:rPr>
      </w:pPr>
      <w:r w:rsidRPr="00A14EED">
        <w:rPr>
          <w:rFonts w:asciiTheme="minorHAnsi" w:hAnsiTheme="minorHAnsi" w:cstheme="minorHAnsi"/>
          <w:color w:val="00B050"/>
        </w:rPr>
        <w:t xml:space="preserve">- l’emprise au sol du bâtiment annexe soit inférieure à 15 m² ; </w:t>
      </w:r>
    </w:p>
    <w:p w:rsidR="00F32852" w:rsidRPr="00786382" w:rsidRDefault="00F32852" w:rsidP="00F32852">
      <w:pPr>
        <w:pStyle w:val="Default"/>
        <w:jc w:val="both"/>
        <w:rPr>
          <w:rFonts w:asciiTheme="minorHAnsi" w:hAnsiTheme="minorHAnsi" w:cstheme="minorHAnsi"/>
        </w:rPr>
      </w:pPr>
      <w:r w:rsidRPr="00786382">
        <w:rPr>
          <w:rFonts w:asciiTheme="minorHAnsi" w:hAnsiTheme="minorHAnsi" w:cstheme="minorHAnsi"/>
        </w:rPr>
        <w:t xml:space="preserve">- la toiture soit de couleur rouge ; </w:t>
      </w:r>
    </w:p>
    <w:p w:rsidR="00F32852" w:rsidRPr="00786382" w:rsidRDefault="00F32852" w:rsidP="00F32852">
      <w:pPr>
        <w:pStyle w:val="Default"/>
        <w:jc w:val="both"/>
        <w:rPr>
          <w:rFonts w:asciiTheme="minorHAnsi" w:hAnsiTheme="minorHAnsi" w:cstheme="minorHAnsi"/>
        </w:rPr>
      </w:pPr>
      <w:r w:rsidRPr="00786382">
        <w:rPr>
          <w:rFonts w:asciiTheme="minorHAnsi" w:hAnsiTheme="minorHAnsi" w:cstheme="minorHAnsi"/>
        </w:rPr>
        <w:t xml:space="preserve">- l'ensemble de la construction (aspect, volume, couleur) s'intègre dans l'environnement bâti existant. </w:t>
      </w:r>
    </w:p>
    <w:p w:rsidR="005B0600" w:rsidRDefault="00F32852" w:rsidP="00E01C77">
      <w:pPr>
        <w:jc w:val="both"/>
      </w:pPr>
      <w:r>
        <w:rPr>
          <w:sz w:val="24"/>
          <w:szCs w:val="24"/>
        </w:rPr>
        <w:t>Ces dispositions ne s’appliquent pas aux vérandas.</w:t>
      </w:r>
      <w:r w:rsidRPr="002F17FE">
        <w:rPr>
          <w:sz w:val="24"/>
          <w:szCs w:val="24"/>
        </w:rPr>
        <w:t> »</w:t>
      </w:r>
      <w:bookmarkStart w:id="6" w:name="_GoBack"/>
      <w:bookmarkEnd w:id="6"/>
    </w:p>
    <w:sectPr w:rsidR="005B06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901D0"/>
    <w:multiLevelType w:val="hybridMultilevel"/>
    <w:tmpl w:val="6D0A7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468C0"/>
    <w:multiLevelType w:val="hybridMultilevel"/>
    <w:tmpl w:val="2DBAA1E8"/>
    <w:lvl w:ilvl="0" w:tplc="610436D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8D34F4"/>
    <w:multiLevelType w:val="hybridMultilevel"/>
    <w:tmpl w:val="55B0A136"/>
    <w:lvl w:ilvl="0" w:tplc="D04A1E3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6096EFE"/>
    <w:multiLevelType w:val="multilevel"/>
    <w:tmpl w:val="CE1E10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647609E"/>
    <w:multiLevelType w:val="multilevel"/>
    <w:tmpl w:val="091E19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7B5E0DC0"/>
    <w:multiLevelType w:val="multilevel"/>
    <w:tmpl w:val="51A82A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  <w:u w:val="none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  <w:u w:val="none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  <w:u w:val="none"/>
      </w:rPr>
    </w:lvl>
    <w:lvl w:ilvl="4">
      <w:start w:val="1"/>
      <w:numFmt w:val="decimal"/>
      <w:pStyle w:val="Titre5"/>
      <w:lvlText w:val="%1.%2.%3.%4.%5."/>
      <w:lvlJc w:val="left"/>
      <w:pPr>
        <w:tabs>
          <w:tab w:val="num" w:pos="851"/>
        </w:tabs>
        <w:ind w:left="851" w:hanging="851"/>
      </w:pPr>
      <w:rPr>
        <w:rFonts w:hint="default"/>
        <w:u w:val="none"/>
      </w:rPr>
    </w:lvl>
    <w:lvl w:ilvl="5">
      <w:start w:val="1"/>
      <w:numFmt w:val="upperLetter"/>
      <w:pStyle w:val="Titre6"/>
      <w:lvlText w:val="%6."/>
      <w:lvlJc w:val="left"/>
      <w:pPr>
        <w:tabs>
          <w:tab w:val="num" w:pos="794"/>
        </w:tabs>
        <w:ind w:left="1134" w:firstLine="0"/>
      </w:pPr>
      <w:rPr>
        <w:rFonts w:hint="default"/>
        <w:u w:val="none"/>
      </w:rPr>
    </w:lvl>
    <w:lvl w:ilvl="6">
      <w:start w:val="1"/>
      <w:numFmt w:val="lowerLetter"/>
      <w:pStyle w:val="Titre7"/>
      <w:lvlText w:val="%7)"/>
      <w:lvlJc w:val="left"/>
      <w:pPr>
        <w:tabs>
          <w:tab w:val="num" w:pos="794"/>
        </w:tabs>
        <w:ind w:left="1134" w:firstLine="0"/>
      </w:pPr>
      <w:rPr>
        <w:rFonts w:hint="default"/>
        <w:u w:val="none"/>
      </w:rPr>
    </w:lvl>
    <w:lvl w:ilvl="7">
      <w:start w:val="1"/>
      <w:numFmt w:val="decimal"/>
      <w:pStyle w:val="Titre8"/>
      <w:lvlText w:val="%8)"/>
      <w:lvlJc w:val="left"/>
      <w:pPr>
        <w:tabs>
          <w:tab w:val="num" w:pos="794"/>
        </w:tabs>
        <w:ind w:left="1134" w:firstLine="0"/>
      </w:pPr>
      <w:rPr>
        <w:rFonts w:hint="default"/>
        <w:u w:val="none"/>
      </w:rPr>
    </w:lvl>
    <w:lvl w:ilvl="8">
      <w:start w:val="1"/>
      <w:numFmt w:val="lowerRoman"/>
      <w:pStyle w:val="Titre9"/>
      <w:lvlText w:val="%9)"/>
      <w:lvlJc w:val="left"/>
      <w:pPr>
        <w:tabs>
          <w:tab w:val="num" w:pos="794"/>
        </w:tabs>
        <w:ind w:left="1134" w:firstLine="0"/>
      </w:pPr>
      <w:rPr>
        <w:rFonts w:hint="default"/>
        <w:u w:val="none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852"/>
    <w:rsid w:val="00265260"/>
    <w:rsid w:val="005B0600"/>
    <w:rsid w:val="00E01C77"/>
    <w:rsid w:val="00F3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852"/>
  </w:style>
  <w:style w:type="paragraph" w:styleId="Titre1">
    <w:name w:val="heading 1"/>
    <w:basedOn w:val="Normal"/>
    <w:next w:val="Corpsdetexte"/>
    <w:link w:val="Titre1Car"/>
    <w:autoRedefine/>
    <w:qFormat/>
    <w:rsid w:val="00E01C77"/>
    <w:pPr>
      <w:keepNext/>
      <w:spacing w:before="200" w:after="0" w:line="240" w:lineRule="auto"/>
      <w:ind w:left="360"/>
      <w:jc w:val="center"/>
      <w:outlineLvl w:val="0"/>
    </w:pPr>
    <w:rPr>
      <w:rFonts w:eastAsia="Times New Roman" w:cs="Arial"/>
      <w:b/>
      <w:bCs/>
      <w:smallCaps/>
      <w:kern w:val="32"/>
      <w:sz w:val="40"/>
      <w:szCs w:val="40"/>
      <w:lang w:eastAsia="fr-FR"/>
    </w:rPr>
  </w:style>
  <w:style w:type="paragraph" w:styleId="Titre2">
    <w:name w:val="heading 2"/>
    <w:basedOn w:val="Titre1"/>
    <w:next w:val="Corpsdetexte"/>
    <w:link w:val="Titre2Car"/>
    <w:autoRedefine/>
    <w:qFormat/>
    <w:rsid w:val="00E01C77"/>
    <w:pPr>
      <w:numPr>
        <w:ilvl w:val="1"/>
        <w:numId w:val="6"/>
      </w:numPr>
      <w:spacing w:before="400" w:after="240"/>
      <w:ind w:left="1418" w:hanging="1134"/>
      <w:jc w:val="left"/>
      <w:outlineLvl w:val="1"/>
    </w:pPr>
    <w:rPr>
      <w:bCs w:val="0"/>
      <w:iCs/>
      <w:sz w:val="24"/>
      <w:szCs w:val="24"/>
    </w:rPr>
  </w:style>
  <w:style w:type="paragraph" w:styleId="Titre3">
    <w:name w:val="heading 3"/>
    <w:basedOn w:val="Titre2"/>
    <w:next w:val="Corpsdetexte"/>
    <w:link w:val="Titre3Car"/>
    <w:qFormat/>
    <w:rsid w:val="00F32852"/>
    <w:pPr>
      <w:numPr>
        <w:ilvl w:val="2"/>
      </w:numPr>
      <w:spacing w:before="300"/>
      <w:ind w:left="2267"/>
      <w:outlineLvl w:val="2"/>
    </w:pPr>
    <w:rPr>
      <w:b w:val="0"/>
      <w:bCs/>
      <w:i/>
      <w:szCs w:val="22"/>
    </w:rPr>
  </w:style>
  <w:style w:type="paragraph" w:styleId="Titre4">
    <w:name w:val="heading 4"/>
    <w:basedOn w:val="Titre3"/>
    <w:next w:val="Corpsdetexte"/>
    <w:link w:val="Titre4Car"/>
    <w:qFormat/>
    <w:rsid w:val="00F32852"/>
    <w:pPr>
      <w:numPr>
        <w:ilvl w:val="3"/>
      </w:numPr>
      <w:spacing w:before="200"/>
      <w:outlineLvl w:val="3"/>
    </w:pPr>
    <w:rPr>
      <w:b/>
      <w:bCs w:val="0"/>
    </w:rPr>
  </w:style>
  <w:style w:type="paragraph" w:styleId="Titre5">
    <w:name w:val="heading 5"/>
    <w:basedOn w:val="Titre4"/>
    <w:next w:val="Corpsdetexte"/>
    <w:link w:val="Titre5Car"/>
    <w:qFormat/>
    <w:rsid w:val="00F32852"/>
    <w:pPr>
      <w:numPr>
        <w:ilvl w:val="4"/>
      </w:numPr>
      <w:spacing w:before="240" w:after="60"/>
      <w:outlineLvl w:val="4"/>
    </w:pPr>
    <w:rPr>
      <w:bCs/>
      <w:i w:val="0"/>
      <w:iCs w:val="0"/>
      <w:sz w:val="20"/>
      <w:szCs w:val="20"/>
    </w:rPr>
  </w:style>
  <w:style w:type="paragraph" w:styleId="Titre6">
    <w:name w:val="heading 6"/>
    <w:basedOn w:val="Normal"/>
    <w:next w:val="Normal"/>
    <w:link w:val="Titre6Car"/>
    <w:qFormat/>
    <w:rsid w:val="00F32852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 w:cs="Times New Roman"/>
      <w:b/>
      <w:bCs/>
      <w:lang w:eastAsia="fr-FR"/>
    </w:rPr>
  </w:style>
  <w:style w:type="paragraph" w:styleId="Titre7">
    <w:name w:val="heading 7"/>
    <w:basedOn w:val="Normal"/>
    <w:next w:val="Normal"/>
    <w:link w:val="Titre7Car"/>
    <w:qFormat/>
    <w:rsid w:val="00F32852"/>
    <w:pPr>
      <w:numPr>
        <w:ilvl w:val="6"/>
        <w:numId w:val="1"/>
      </w:numPr>
      <w:tabs>
        <w:tab w:val="left" w:pos="1418"/>
      </w:tabs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F32852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iCs/>
      <w:sz w:val="20"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F32852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E01C77"/>
    <w:rPr>
      <w:rFonts w:eastAsia="Times New Roman" w:cs="Arial"/>
      <w:b/>
      <w:bCs/>
      <w:smallCaps/>
      <w:kern w:val="32"/>
      <w:sz w:val="40"/>
      <w:szCs w:val="40"/>
      <w:lang w:eastAsia="fr-FR"/>
    </w:rPr>
  </w:style>
  <w:style w:type="character" w:customStyle="1" w:styleId="Titre2Car">
    <w:name w:val="Titre 2 Car"/>
    <w:basedOn w:val="Policepardfaut"/>
    <w:link w:val="Titre2"/>
    <w:rsid w:val="00E01C77"/>
    <w:rPr>
      <w:rFonts w:eastAsia="Times New Roman" w:cs="Arial"/>
      <w:b/>
      <w:iCs/>
      <w:smallCaps/>
      <w:kern w:val="32"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F32852"/>
    <w:rPr>
      <w:rFonts w:eastAsia="Times New Roman" w:cs="Arial"/>
      <w:bCs/>
      <w:i/>
      <w:iCs/>
      <w:smallCaps/>
      <w:kern w:val="32"/>
      <w:sz w:val="24"/>
      <w:lang w:eastAsia="fr-FR"/>
    </w:rPr>
  </w:style>
  <w:style w:type="character" w:customStyle="1" w:styleId="Titre4Car">
    <w:name w:val="Titre 4 Car"/>
    <w:basedOn w:val="Policepardfaut"/>
    <w:link w:val="Titre4"/>
    <w:rsid w:val="00F32852"/>
    <w:rPr>
      <w:rFonts w:eastAsia="Times New Roman" w:cs="Arial"/>
      <w:b/>
      <w:i/>
      <w:iCs/>
      <w:smallCaps/>
      <w:kern w:val="32"/>
      <w:sz w:val="24"/>
      <w:lang w:eastAsia="fr-FR"/>
    </w:rPr>
  </w:style>
  <w:style w:type="character" w:customStyle="1" w:styleId="Titre5Car">
    <w:name w:val="Titre 5 Car"/>
    <w:basedOn w:val="Policepardfaut"/>
    <w:link w:val="Titre5"/>
    <w:rsid w:val="00F32852"/>
    <w:rPr>
      <w:rFonts w:eastAsia="Times New Roman" w:cs="Arial"/>
      <w:b/>
      <w:bCs/>
      <w:smallCaps/>
      <w:kern w:val="32"/>
      <w:sz w:val="20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F32852"/>
    <w:rPr>
      <w:rFonts w:ascii="Arial" w:eastAsia="Times New Roman" w:hAnsi="Arial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rsid w:val="00F32852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F32852"/>
    <w:rPr>
      <w:rFonts w:ascii="Arial" w:eastAsia="Times New Roman" w:hAnsi="Arial" w:cs="Times New Roman"/>
      <w:i/>
      <w:iCs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F32852"/>
    <w:rPr>
      <w:rFonts w:ascii="Arial" w:eastAsia="Times New Roman" w:hAnsi="Arial" w:cs="Arial"/>
      <w:lang w:eastAsia="fr-FR"/>
    </w:rPr>
  </w:style>
  <w:style w:type="paragraph" w:styleId="Paragraphedeliste">
    <w:name w:val="List Paragraph"/>
    <w:basedOn w:val="Normal"/>
    <w:uiPriority w:val="34"/>
    <w:qFormat/>
    <w:rsid w:val="00F32852"/>
    <w:pPr>
      <w:ind w:left="720"/>
      <w:contextualSpacing/>
    </w:pPr>
  </w:style>
  <w:style w:type="paragraph" w:styleId="Corpsdetexte">
    <w:name w:val="Body Text"/>
    <w:basedOn w:val="Normal"/>
    <w:link w:val="CorpsdetexteCar"/>
    <w:rsid w:val="00F32852"/>
    <w:pPr>
      <w:spacing w:before="200" w:after="0" w:line="240" w:lineRule="auto"/>
      <w:ind w:left="851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F32852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Default">
    <w:name w:val="Default"/>
    <w:rsid w:val="00F32852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  <w:style w:type="paragraph" w:customStyle="1" w:styleId="Standard">
    <w:name w:val="Standard"/>
    <w:rsid w:val="00F32852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852"/>
  </w:style>
  <w:style w:type="paragraph" w:styleId="Titre1">
    <w:name w:val="heading 1"/>
    <w:basedOn w:val="Normal"/>
    <w:next w:val="Corpsdetexte"/>
    <w:link w:val="Titre1Car"/>
    <w:autoRedefine/>
    <w:qFormat/>
    <w:rsid w:val="00E01C77"/>
    <w:pPr>
      <w:keepNext/>
      <w:spacing w:before="200" w:after="0" w:line="240" w:lineRule="auto"/>
      <w:ind w:left="360"/>
      <w:jc w:val="center"/>
      <w:outlineLvl w:val="0"/>
    </w:pPr>
    <w:rPr>
      <w:rFonts w:eastAsia="Times New Roman" w:cs="Arial"/>
      <w:b/>
      <w:bCs/>
      <w:smallCaps/>
      <w:kern w:val="32"/>
      <w:sz w:val="40"/>
      <w:szCs w:val="40"/>
      <w:lang w:eastAsia="fr-FR"/>
    </w:rPr>
  </w:style>
  <w:style w:type="paragraph" w:styleId="Titre2">
    <w:name w:val="heading 2"/>
    <w:basedOn w:val="Titre1"/>
    <w:next w:val="Corpsdetexte"/>
    <w:link w:val="Titre2Car"/>
    <w:autoRedefine/>
    <w:qFormat/>
    <w:rsid w:val="00E01C77"/>
    <w:pPr>
      <w:numPr>
        <w:ilvl w:val="1"/>
        <w:numId w:val="6"/>
      </w:numPr>
      <w:spacing w:before="400" w:after="240"/>
      <w:ind w:left="1418" w:hanging="1134"/>
      <w:jc w:val="left"/>
      <w:outlineLvl w:val="1"/>
    </w:pPr>
    <w:rPr>
      <w:bCs w:val="0"/>
      <w:iCs/>
      <w:sz w:val="24"/>
      <w:szCs w:val="24"/>
    </w:rPr>
  </w:style>
  <w:style w:type="paragraph" w:styleId="Titre3">
    <w:name w:val="heading 3"/>
    <w:basedOn w:val="Titre2"/>
    <w:next w:val="Corpsdetexte"/>
    <w:link w:val="Titre3Car"/>
    <w:qFormat/>
    <w:rsid w:val="00F32852"/>
    <w:pPr>
      <w:numPr>
        <w:ilvl w:val="2"/>
      </w:numPr>
      <w:spacing w:before="300"/>
      <w:ind w:left="2267"/>
      <w:outlineLvl w:val="2"/>
    </w:pPr>
    <w:rPr>
      <w:b w:val="0"/>
      <w:bCs/>
      <w:i/>
      <w:szCs w:val="22"/>
    </w:rPr>
  </w:style>
  <w:style w:type="paragraph" w:styleId="Titre4">
    <w:name w:val="heading 4"/>
    <w:basedOn w:val="Titre3"/>
    <w:next w:val="Corpsdetexte"/>
    <w:link w:val="Titre4Car"/>
    <w:qFormat/>
    <w:rsid w:val="00F32852"/>
    <w:pPr>
      <w:numPr>
        <w:ilvl w:val="3"/>
      </w:numPr>
      <w:spacing w:before="200"/>
      <w:outlineLvl w:val="3"/>
    </w:pPr>
    <w:rPr>
      <w:b/>
      <w:bCs w:val="0"/>
    </w:rPr>
  </w:style>
  <w:style w:type="paragraph" w:styleId="Titre5">
    <w:name w:val="heading 5"/>
    <w:basedOn w:val="Titre4"/>
    <w:next w:val="Corpsdetexte"/>
    <w:link w:val="Titre5Car"/>
    <w:qFormat/>
    <w:rsid w:val="00F32852"/>
    <w:pPr>
      <w:numPr>
        <w:ilvl w:val="4"/>
      </w:numPr>
      <w:spacing w:before="240" w:after="60"/>
      <w:outlineLvl w:val="4"/>
    </w:pPr>
    <w:rPr>
      <w:bCs/>
      <w:i w:val="0"/>
      <w:iCs w:val="0"/>
      <w:sz w:val="20"/>
      <w:szCs w:val="20"/>
    </w:rPr>
  </w:style>
  <w:style w:type="paragraph" w:styleId="Titre6">
    <w:name w:val="heading 6"/>
    <w:basedOn w:val="Normal"/>
    <w:next w:val="Normal"/>
    <w:link w:val="Titre6Car"/>
    <w:qFormat/>
    <w:rsid w:val="00F32852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 w:cs="Times New Roman"/>
      <w:b/>
      <w:bCs/>
      <w:lang w:eastAsia="fr-FR"/>
    </w:rPr>
  </w:style>
  <w:style w:type="paragraph" w:styleId="Titre7">
    <w:name w:val="heading 7"/>
    <w:basedOn w:val="Normal"/>
    <w:next w:val="Normal"/>
    <w:link w:val="Titre7Car"/>
    <w:qFormat/>
    <w:rsid w:val="00F32852"/>
    <w:pPr>
      <w:numPr>
        <w:ilvl w:val="6"/>
        <w:numId w:val="1"/>
      </w:numPr>
      <w:tabs>
        <w:tab w:val="left" w:pos="1418"/>
      </w:tabs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F32852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iCs/>
      <w:sz w:val="20"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F32852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E01C77"/>
    <w:rPr>
      <w:rFonts w:eastAsia="Times New Roman" w:cs="Arial"/>
      <w:b/>
      <w:bCs/>
      <w:smallCaps/>
      <w:kern w:val="32"/>
      <w:sz w:val="40"/>
      <w:szCs w:val="40"/>
      <w:lang w:eastAsia="fr-FR"/>
    </w:rPr>
  </w:style>
  <w:style w:type="character" w:customStyle="1" w:styleId="Titre2Car">
    <w:name w:val="Titre 2 Car"/>
    <w:basedOn w:val="Policepardfaut"/>
    <w:link w:val="Titre2"/>
    <w:rsid w:val="00E01C77"/>
    <w:rPr>
      <w:rFonts w:eastAsia="Times New Roman" w:cs="Arial"/>
      <w:b/>
      <w:iCs/>
      <w:smallCaps/>
      <w:kern w:val="32"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F32852"/>
    <w:rPr>
      <w:rFonts w:eastAsia="Times New Roman" w:cs="Arial"/>
      <w:bCs/>
      <w:i/>
      <w:iCs/>
      <w:smallCaps/>
      <w:kern w:val="32"/>
      <w:sz w:val="24"/>
      <w:lang w:eastAsia="fr-FR"/>
    </w:rPr>
  </w:style>
  <w:style w:type="character" w:customStyle="1" w:styleId="Titre4Car">
    <w:name w:val="Titre 4 Car"/>
    <w:basedOn w:val="Policepardfaut"/>
    <w:link w:val="Titre4"/>
    <w:rsid w:val="00F32852"/>
    <w:rPr>
      <w:rFonts w:eastAsia="Times New Roman" w:cs="Arial"/>
      <w:b/>
      <w:i/>
      <w:iCs/>
      <w:smallCaps/>
      <w:kern w:val="32"/>
      <w:sz w:val="24"/>
      <w:lang w:eastAsia="fr-FR"/>
    </w:rPr>
  </w:style>
  <w:style w:type="character" w:customStyle="1" w:styleId="Titre5Car">
    <w:name w:val="Titre 5 Car"/>
    <w:basedOn w:val="Policepardfaut"/>
    <w:link w:val="Titre5"/>
    <w:rsid w:val="00F32852"/>
    <w:rPr>
      <w:rFonts w:eastAsia="Times New Roman" w:cs="Arial"/>
      <w:b/>
      <w:bCs/>
      <w:smallCaps/>
      <w:kern w:val="32"/>
      <w:sz w:val="20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F32852"/>
    <w:rPr>
      <w:rFonts w:ascii="Arial" w:eastAsia="Times New Roman" w:hAnsi="Arial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rsid w:val="00F32852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F32852"/>
    <w:rPr>
      <w:rFonts w:ascii="Arial" w:eastAsia="Times New Roman" w:hAnsi="Arial" w:cs="Times New Roman"/>
      <w:i/>
      <w:iCs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F32852"/>
    <w:rPr>
      <w:rFonts w:ascii="Arial" w:eastAsia="Times New Roman" w:hAnsi="Arial" w:cs="Arial"/>
      <w:lang w:eastAsia="fr-FR"/>
    </w:rPr>
  </w:style>
  <w:style w:type="paragraph" w:styleId="Paragraphedeliste">
    <w:name w:val="List Paragraph"/>
    <w:basedOn w:val="Normal"/>
    <w:uiPriority w:val="34"/>
    <w:qFormat/>
    <w:rsid w:val="00F32852"/>
    <w:pPr>
      <w:ind w:left="720"/>
      <w:contextualSpacing/>
    </w:pPr>
  </w:style>
  <w:style w:type="paragraph" w:styleId="Corpsdetexte">
    <w:name w:val="Body Text"/>
    <w:basedOn w:val="Normal"/>
    <w:link w:val="CorpsdetexteCar"/>
    <w:rsid w:val="00F32852"/>
    <w:pPr>
      <w:spacing w:before="200" w:after="0" w:line="240" w:lineRule="auto"/>
      <w:ind w:left="851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F32852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Default">
    <w:name w:val="Default"/>
    <w:rsid w:val="00F32852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  <w:style w:type="paragraph" w:customStyle="1" w:styleId="Standard">
    <w:name w:val="Standard"/>
    <w:rsid w:val="00F32852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694</Words>
  <Characters>3819</Characters>
  <Application>Microsoft Office Word</Application>
  <DocSecurity>0</DocSecurity>
  <Lines>31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Roannais Agglomeration</Company>
  <LinksUpToDate>false</LinksUpToDate>
  <CharactersWithSpaces>4504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davvai</dc:creator>
  <cp:lastModifiedBy>THORAL Brigitte</cp:lastModifiedBy>
  <cp:revision>2</cp:revision>
  <dcterms:created xsi:type="dcterms:W3CDTF">2020-02-06T10:03:00Z</dcterms:created>
  <dcterms:modified xsi:type="dcterms:W3CDTF">2020-02-06T14:16:00Z</dcterms:modified>
</cp:coreProperties>
</file>