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92"/>
        <w:gridCol w:w="7545"/>
      </w:tblGrid>
      <w:tr>
        <w:trPr/>
        <w:tc>
          <w:tcPr>
            <w:tcW w:w="2092" w:type="dxa"/>
            <w:vMerge w:val="restart"/>
            <w:tcBorders>
              <w:top w:val="single" w:sz="2" w:space="0" w:color="000000"/>
              <w:left w:val="single" w:sz="2" w:space="0" w:color="000000"/>
            </w:tcBorders>
          </w:tcPr>
          <w:p>
            <w:pPr>
              <w:pStyle w:val="Default"/>
              <w:widowControl w:val="false"/>
              <w:rPr>
                <w:rFonts w:ascii="Arial" w:hAnsi="Arial" w:cs="Arial"/>
                <w:color w:val="auto"/>
              </w:rPr>
            </w:pPr>
            <w:bookmarkStart w:id="0" w:name="_GoBack"/>
            <w:bookmarkEnd w:id="0"/>
            <w:r>
              <w:rPr/>
              <w:drawing>
                <wp:inline distT="0" distB="0" distL="0" distR="0">
                  <wp:extent cx="1247775" cy="733425"/>
                  <wp:effectExtent l="0" t="0" r="0" b="0"/>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ouvernement_RVB"/>
                          <pic:cNvPicPr>
                            <a:picLocks noChangeAspect="1" noChangeArrowheads="1"/>
                          </pic:cNvPicPr>
                        </pic:nvPicPr>
                        <pic:blipFill>
                          <a:blip r:embed="rId2"/>
                          <a:stretch>
                            <a:fillRect/>
                          </a:stretch>
                        </pic:blipFill>
                        <pic:spPr bwMode="auto">
                          <a:xfrm>
                            <a:off x="0" y="0"/>
                            <a:ext cx="1247775" cy="733425"/>
                          </a:xfrm>
                          <a:prstGeom prst="rect">
                            <a:avLst/>
                          </a:prstGeom>
                        </pic:spPr>
                      </pic:pic>
                    </a:graphicData>
                  </a:graphic>
                </wp:inline>
              </w:drawing>
            </w:r>
          </w:p>
        </w:tc>
        <w:tc>
          <w:tcPr>
            <w:tcW w:w="7545"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 xml:space="preserve">Examen au cas par cas </w:t>
            </w:r>
            <w:r>
              <w:rPr>
                <w:rFonts w:cs="Arial" w:ascii="Arial" w:hAnsi="Arial"/>
                <w:b/>
                <w:bCs/>
              </w:rPr>
              <w:t xml:space="preserve">réalisé par la personne publique responsable </w:t>
            </w:r>
            <w:r>
              <w:rPr>
                <w:rFonts w:cs="Arial" w:ascii="Arial" w:hAnsi="Arial"/>
                <w:b/>
                <w:bCs/>
                <w:color w:val="auto"/>
              </w:rPr>
              <w:t>en application des articles R. 104-33 à R. 104-37 du code de l’urbanisme</w:t>
            </w:r>
          </w:p>
          <w:p>
            <w:pPr>
              <w:pStyle w:val="Default"/>
              <w:widowControl w:val="false"/>
              <w:jc w:val="center"/>
              <w:rPr>
                <w:rFonts w:ascii="Arial" w:hAnsi="Arial" w:cs="Arial"/>
                <w:b/>
                <w:b/>
                <w:bCs/>
                <w:color w:val="auto"/>
              </w:rPr>
            </w:pPr>
            <w:r>
              <w:rPr>
                <w:rFonts w:cs="Arial" w:ascii="Arial" w:hAnsi="Arial"/>
                <w:b/>
                <w:bCs/>
                <w:color w:val="auto"/>
              </w:rPr>
              <w:t>pour un plan local d’urbanisme</w:t>
            </w:r>
          </w:p>
          <w:p>
            <w:pPr>
              <w:pStyle w:val="Default"/>
              <w:widowControl w:val="false"/>
              <w:jc w:val="center"/>
              <w:rPr>
                <w:rFonts w:ascii="Arial" w:hAnsi="Arial" w:cs="Arial"/>
                <w:b/>
                <w:b/>
                <w:bCs/>
              </w:rPr>
            </w:pPr>
            <w:r>
              <w:rPr>
                <w:rFonts w:cs="Arial" w:ascii="Arial" w:hAnsi="Arial"/>
                <w:b/>
                <w:bCs/>
              </w:rPr>
            </w:r>
          </w:p>
          <w:p>
            <w:pPr>
              <w:pStyle w:val="Default"/>
              <w:widowControl w:val="false"/>
              <w:jc w:val="center"/>
              <w:rPr>
                <w:rFonts w:ascii="Arial" w:hAnsi="Arial" w:cs="Arial"/>
                <w:color w:val="auto"/>
              </w:rPr>
            </w:pPr>
            <w:r>
              <w:rPr>
                <w:rFonts w:cs="Arial" w:ascii="Arial" w:hAnsi="Arial"/>
                <w:bCs/>
                <w:color w:val="auto"/>
              </w:rPr>
              <w:t xml:space="preserve">Demande d’avis conforme à l’autorité environnementale sur l’absence de nécessité de réaliser </w:t>
            </w:r>
            <w:r>
              <w:rPr>
                <w:rFonts w:cs="Arial" w:ascii="Arial" w:hAnsi="Arial"/>
                <w:color w:val="auto"/>
              </w:rPr>
              <w:t>une évaluation environnementale</w:t>
            </w:r>
          </w:p>
          <w:p>
            <w:pPr>
              <w:pStyle w:val="Default"/>
              <w:widowControl w:val="false"/>
              <w:rPr>
                <w:rFonts w:ascii="Arial" w:hAnsi="Arial" w:cs="Arial"/>
                <w:color w:val="auto"/>
              </w:rPr>
            </w:pPr>
            <w:r>
              <w:rPr>
                <w:rFonts w:cs="Arial" w:ascii="Arial" w:hAnsi="Arial"/>
                <w:color w:val="auto"/>
              </w:rPr>
            </w:r>
          </w:p>
        </w:tc>
      </w:tr>
      <w:tr>
        <w:trPr/>
        <w:tc>
          <w:tcPr>
            <w:tcW w:w="2092" w:type="dxa"/>
            <w:vMerge w:val="continue"/>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545" w:type="dxa"/>
            <w:tcBorders>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Articles  R. 104-33 à R. 104-37 du code de l’urbanisme</w:t>
            </w:r>
          </w:p>
        </w:tc>
      </w:tr>
    </w:tbl>
    <w:p>
      <w:pPr>
        <w:pStyle w:val="Default"/>
        <w:rPr>
          <w:rFonts w:ascii="Arial" w:hAnsi="Arial" w:cs="Arial"/>
          <w:color w:val="auto"/>
        </w:rPr>
      </w:pPr>
      <w:r>
        <w:rPr>
          <w:rFonts w:cs="Arial" w:ascii="Arial" w:hAnsi="Arial"/>
          <w:color w:val="auto"/>
        </w:rPr>
      </w:r>
    </w:p>
    <w:p>
      <w:pPr>
        <w:pStyle w:val="Default"/>
        <w:jc w:val="center"/>
        <w:rPr>
          <w:rFonts w:ascii="Arial" w:hAnsi="Arial" w:cs="Arial"/>
          <w:b/>
          <w:b/>
          <w:i/>
          <w:i/>
          <w:iCs/>
          <w:color w:val="auto"/>
        </w:rPr>
      </w:pPr>
      <w:r>
        <w:rPr>
          <w:rFonts w:cs="Arial" w:ascii="Arial" w:hAnsi="Arial"/>
          <w:b/>
          <w:i/>
          <w:iCs/>
          <w:color w:val="auto"/>
        </w:rPr>
        <w:t>En cas d’avis tacite, le formulaire sera publié sur le site Internet de l’autorité environnementale</w:t>
      </w:r>
    </w:p>
    <w:p>
      <w:pPr>
        <w:pStyle w:val="Default"/>
        <w:jc w:val="center"/>
        <w:rPr>
          <w:rFonts w:ascii="Arial" w:hAnsi="Arial" w:cs="Arial"/>
          <w:i/>
          <w:i/>
          <w:iCs/>
          <w:color w:val="auto"/>
        </w:rPr>
      </w:pPr>
      <w:r>
        <w:rPr>
          <w:rFonts w:cs="Arial" w:ascii="Arial" w:hAnsi="Arial"/>
          <w:i/>
          <w:iCs/>
          <w:color w:val="auto"/>
        </w:rPr>
        <w:t>Avant de remplir cette demande, lire attentivement la notice explicative.</w:t>
      </w:r>
    </w:p>
    <w:p>
      <w:pPr>
        <w:pStyle w:val="Default"/>
        <w:jc w:val="center"/>
        <w:rPr>
          <w:rFonts w:ascii="Arial" w:hAnsi="Arial" w:cs="Arial"/>
          <w:i/>
          <w:i/>
          <w:iCs/>
          <w:color w:val="auto"/>
        </w:rPr>
      </w:pPr>
      <w:r>
        <w:rPr>
          <w:rFonts w:cs="Arial" w:ascii="Arial" w:hAnsi="Arial"/>
          <w:i/>
          <w:iCs/>
          <w:color w:val="auto"/>
        </w:rPr>
      </w:r>
    </w:p>
    <w:p>
      <w:pPr>
        <w:pStyle w:val="Default"/>
        <w:jc w:val="center"/>
        <w:rPr>
          <w:rFonts w:ascii="Arial" w:hAnsi="Arial" w:cs="Arial"/>
          <w:i/>
          <w:i/>
          <w:iCs/>
          <w:color w:val="auto"/>
        </w:rPr>
      </w:pPr>
      <w:r>
        <w:rPr>
          <w:rFonts w:cs="Arial" w:ascii="Arial" w:hAnsi="Arial"/>
          <w:i/>
          <w:iCs/>
          <w:color w:val="auto"/>
        </w:rPr>
        <w:t>Votre attention est appelée sur le fait que les réponses apportées dans les cases de ce formulaire constituent des éléments particuliers sur lesquels votre analyse prendra appui, mais ils ne constituent pas l’analyse qui est à développer</w:t>
      </w:r>
      <w:r>
        <w:rPr>
          <w:rFonts w:cs="Arial" w:ascii="Arial" w:hAnsi="Arial"/>
          <w:b/>
          <w:i/>
          <w:iCs/>
          <w:color w:val="auto"/>
        </w:rPr>
        <w:t xml:space="preserve"> </w:t>
      </w:r>
      <w:r>
        <w:rPr>
          <w:rFonts w:cs="Arial" w:ascii="Arial" w:hAnsi="Arial"/>
          <w:i/>
          <w:iCs/>
          <w:color w:val="auto"/>
        </w:rPr>
        <w:t>(rubrique 6)</w:t>
      </w:r>
    </w:p>
    <w:p>
      <w:pPr>
        <w:pStyle w:val="Default"/>
        <w:rPr>
          <w:rFonts w:ascii="Arial" w:hAnsi="Arial" w:cs="Arial"/>
          <w:i/>
          <w:i/>
          <w:iCs/>
          <w:color w:val="auto"/>
        </w:rPr>
      </w:pPr>
      <w:r>
        <w:rPr>
          <w:rFonts w:cs="Arial" w:ascii="Arial" w:hAnsi="Arial"/>
          <w:i/>
          <w:iCs/>
          <w:color w:val="auto"/>
        </w:rPr>
      </w:r>
    </w:p>
    <w:p>
      <w:pPr>
        <w:pStyle w:val="Default"/>
        <w:rPr>
          <w:rFonts w:ascii="Arial" w:hAnsi="Arial" w:cs="Arial"/>
          <w:i/>
          <w:i/>
          <w:iCs/>
          <w:color w:val="auto"/>
        </w:rPr>
      </w:pPr>
      <w:r>
        <w:rPr>
          <w:rFonts w:cs="Arial" w:ascii="Arial" w:hAnsi="Arial"/>
          <w:i/>
          <w:iCs/>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Cadre réservé à l’autorité environnementale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réception :</w:t>
            </w:r>
          </w:p>
        </w:tc>
        <w:tc>
          <w:tcPr>
            <w:tcW w:w="321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demande de pièces complémentaires :</w:t>
            </w:r>
          </w:p>
        </w:tc>
        <w:tc>
          <w:tcPr>
            <w:tcW w:w="3213"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 d’enregistrement</w:t>
            </w:r>
          </w:p>
        </w:tc>
      </w:tr>
      <w:tr>
        <w:trPr/>
        <w:tc>
          <w:tcPr>
            <w:tcW w:w="3212"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Fonts w:cs="Arial" w:ascii="Arial" w:hAnsi="Arial"/>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1. Identification de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 xml:space="preserve">Dénomination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SIRET/SIREN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Coordonnées (adresse, téléphone, courriel)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habilitée à représenter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ressource (service technique, bureau d’étude, etc.)</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Coordonnées de la personne physique ressource (adresse, téléphone, courriel)</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2. Identification du PLU</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2.1</w:t>
            </w:r>
            <w:r>
              <w:rPr>
                <w:rFonts w:cs="Arial" w:ascii="Arial" w:hAnsi="Arial"/>
                <w:color w:val="auto"/>
              </w:rPr>
              <w:t xml:space="preserve"> Type de document concerné (PLU, PLU(i))</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2.2</w:t>
            </w:r>
            <w:r>
              <w:rPr>
                <w:rFonts w:cs="Arial" w:ascii="Arial" w:hAnsi="Arial"/>
                <w:color w:val="auto"/>
              </w:rPr>
              <w:t xml:space="preserve"> Intitulé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2.3</w:t>
            </w:r>
            <w:r>
              <w:rPr>
                <w:rFonts w:cs="Arial" w:ascii="Arial" w:hAnsi="Arial"/>
                <w:color w:val="auto"/>
              </w:rPr>
              <w:t xml:space="preserve"> Le cas échéant, la </w:t>
              <w:softHyphen/>
              <w:t>date d’approbation et l’adresse du site Internet qui permet de prendre connaissance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2.4</w:t>
            </w:r>
            <w:r>
              <w:rPr>
                <w:rFonts w:cs="Arial" w:ascii="Arial" w:hAnsi="Arial"/>
                <w:color w:val="auto"/>
              </w:rPr>
              <w:t xml:space="preserve">  Territoire (commune(s) ou EPCI) couvert par le PLU </w:t>
            </w:r>
          </w:p>
        </w:tc>
      </w:tr>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b/>
                <w:color w:val="auto"/>
              </w:rPr>
              <w:t>2.5</w:t>
            </w:r>
            <w:r>
              <w:rPr>
                <w:rFonts w:cs="Arial" w:ascii="Arial" w:hAnsi="Arial"/>
                <w:color w:val="auto"/>
              </w:rPr>
              <w:t xml:space="preserve"> Secteurs du territoire concernés par la procédure de révision, de modification ou de mise en compatibilité du PLU (matérialiser la localisation sur un document graphique)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cs="Arial"/>
                <w:b/>
                <w:b/>
                <w:color w:val="auto"/>
              </w:rPr>
            </w:pPr>
            <w:r>
              <w:rPr>
                <w:rFonts w:cs="Arial" w:ascii="Arial" w:hAnsi="Arial"/>
                <w:b/>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color w:val="auto"/>
              </w:rPr>
            </w:pPr>
            <w:r>
              <w:rPr>
                <w:rFonts w:cs="Arial" w:ascii="Arial" w:hAnsi="Arial"/>
                <w:b/>
                <w:color w:val="auto"/>
              </w:rPr>
              <w:t>3. Contexte de la planification</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color w:val="auto"/>
              </w:rPr>
              <w:t xml:space="preserve">3.1 Documents de rang supérieur et documents applicables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document de planification régionale (SAR, SDRIF, PADDUC, SRADDET)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du document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SCoT ?</w:t>
            </w:r>
          </w:p>
        </w:tc>
      </w:tr>
      <w:tr>
        <w:trPr/>
        <w:tc>
          <w:tcPr>
            <w:tcW w:w="9638" w:type="dxa"/>
            <w:tcBorders>
              <w:left w:val="single" w:sz="2" w:space="0" w:color="000000"/>
              <w:bottom w:val="single" w:sz="2" w:space="0" w:color="000000"/>
              <w:right w:val="single" w:sz="2" w:space="0" w:color="000000"/>
            </w:tcBorders>
            <w:vAlign w:val="center"/>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Si oui, nom du SCoT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d’autres types de documents exprimant une politique sectorielle (schéma d’aménagement et de gestion des eaux, plan de gestion des risques d’inondation, charte de parc naturel, PCAET, etc.)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rPr>
              <w:t>3.2 Précédentes évaluations environnementales du PLU</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Le PLU a fait l’objet d’une évaluation environnementale lors de son élaboration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4" w:space="0" w:color="000000"/>
              <w:right w:val="single" w:sz="2" w:space="0" w:color="000000"/>
            </w:tcBorders>
          </w:tcPr>
          <w:p>
            <w:pPr>
              <w:pStyle w:val="Contenudetableau"/>
              <w:widowControl w:val="false"/>
              <w:jc w:val="both"/>
              <w:rPr>
                <w:rFonts w:ascii="Arial" w:hAnsi="Arial" w:eastAsia="Segoe UI" w:cs="Arial"/>
              </w:rPr>
            </w:pPr>
            <w:r>
              <w:rPr>
                <w:rFonts w:cs="Arial" w:ascii="Arial" w:hAnsi="Arial"/>
              </w:rPr>
              <w:t>Si oui, préciser la date de l’avis de l’AE sur l’évaluation environnementale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cs="Arial" w:ascii="Arial" w:hAnsi="Arial"/>
              </w:rPr>
              <w:t>Si non, préciser, le cas échéant, la date de la décision issue de l’examen au cas par cas concluant à l’absence de nécessité de réaliser une évaluation environnementale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Si cette évaluation environnementale a été réalisée, a-t-elle été actualisée ?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cs="Arial" w:ascii="Arial" w:hAnsi="Arial"/>
              </w:rPr>
              <w:t>Si oui, préciser la date de l’actualisation</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Contenudetableau"/>
              <w:widowControl w:val="false"/>
              <w:jc w:val="both"/>
              <w:rPr>
                <w:rFonts w:ascii="Arial" w:hAnsi="Arial" w:eastAsia="Segoe UI" w:cs="Arial"/>
              </w:rPr>
            </w:pPr>
            <w:r>
              <w:rPr>
                <w:rFonts w:cs="Arial" w:ascii="Arial" w:hAnsi="Arial"/>
              </w:rPr>
              <w:t>Comment l’avis de l’autorité environnementale relatif à cette évaluation environnementale ou son actualisation a été pris en compte ? Expliquer les conséquences sur la procédure actuelle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Depuis l’évaluation environnementale initiale, ou sa dernière actualisation, le PLU a fait l’objet d’une procédure d’évolution qui n’a pas fait l’objet d’évaluation environnementale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eastAsia="Segoe UI" w:cs="Arial" w:ascii="Arial" w:hAnsi="Arial"/>
              </w:rPr>
              <w:t>Non</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eastAsia="Segoe UI" w:cs="Arial" w:ascii="Arial" w:hAnsi="Arial"/>
              </w:rPr>
              <w:t>Si oui, préciser sa date d’approbation et son objet</w:t>
            </w:r>
          </w:p>
        </w:tc>
      </w:tr>
      <w:tr>
        <w:trPr/>
        <w:tc>
          <w:tcPr>
            <w:tcW w:w="9638" w:type="dxa"/>
            <w:tcBorders>
              <w:top w:val="single" w:sz="2" w:space="0" w:color="000000"/>
              <w:left w:val="single" w:sz="2" w:space="0" w:color="000000"/>
              <w:bottom w:val="single" w:sz="4" w:space="0" w:color="000000"/>
              <w:right w:val="single" w:sz="2"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top w:val="single" w:sz="4" w:space="0" w:color="000000"/>
            </w:tcBorders>
          </w:tcPr>
          <w:p>
            <w:pPr>
              <w:pStyle w:val="Contenudetableau"/>
              <w:widowControl w:val="false"/>
              <w:jc w:val="both"/>
              <w:rPr>
                <w:rFonts w:ascii="Arial" w:hAnsi="Arial" w:eastAsia="Segoe UI" w:cs="Arial"/>
              </w:rPr>
            </w:pPr>
            <w:r>
              <w:rPr>
                <w:rFonts w:eastAsia="Segoe UI" w:cs="Arial" w:ascii="Arial" w:hAnsi="Arial"/>
              </w:rPr>
            </w:r>
          </w:p>
        </w:tc>
      </w:tr>
    </w:tbl>
    <w:p>
      <w:pPr>
        <w:pStyle w:val="Normal"/>
        <w:rPr>
          <w:rFonts w:ascii="Arial" w:hAnsi="Arial" w:cs="Arial"/>
          <w:vanish/>
        </w:rPr>
      </w:pPr>
      <w:r>
        <w:rPr>
          <w:rFonts w:cs="Arial" w:ascii="Arial" w:hAnsi="Arial"/>
          <w:vanish/>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9641"/>
      </w:tblGrid>
      <w:tr>
        <w:trPr/>
        <w:tc>
          <w:tcPr>
            <w:tcW w:w="9641" w:type="dxa"/>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Arial" w:hAnsi="Arial" w:cs="Arial"/>
              </w:rPr>
            </w:pPr>
            <w:r>
              <w:rPr>
                <w:rFonts w:cs="Arial" w:ascii="Arial" w:hAnsi="Arial"/>
                <w:b/>
              </w:rPr>
              <w:t>4. Type de procédure engagée et objectifs de la procédure donnant lieu à la saisine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b/>
                <w:b/>
                <w:bCs/>
              </w:rPr>
            </w:pPr>
            <w:r>
              <w:rPr>
                <w:rFonts w:cs="Arial" w:ascii="Arial" w:hAnsi="Arial"/>
                <w:b/>
              </w:rPr>
              <w:t xml:space="preserve">4.1 Type de procédure </w:t>
            </w:r>
            <w:r>
              <w:rPr>
                <w:rFonts w:cs="Arial" w:ascii="Arial" w:hAnsi="Arial"/>
                <w:b/>
                <w:bCs/>
              </w:rPr>
              <w:t xml:space="preserve">(révision, modification, mise en compatibilité) et </w:t>
            </w:r>
            <w:r>
              <w:rPr>
                <w:rFonts w:eastAsia="Segoe UI" w:cs="Arial" w:ascii="Arial" w:hAnsi="Arial"/>
                <w:b/>
                <w:bCs/>
              </w:rPr>
              <w:t>fondement juridique</w:t>
            </w:r>
          </w:p>
        </w:tc>
      </w:tr>
      <w:tr>
        <w:trPr>
          <w:trHeight w:val="226" w:hRule="atLeast"/>
        </w:trPr>
        <w:tc>
          <w:tcPr>
            <w:tcW w:w="9641"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4</w:t>
            </w:r>
            <w:r>
              <w:rPr>
                <w:rFonts w:eastAsia="SimSun" w:cs="Arial" w:ascii="Arial" w:hAnsi="Arial"/>
                <w:b/>
                <w:color w:val="auto"/>
              </w:rPr>
              <w:t>.2 Caractéristiques générales du territoire couvert par le PLU</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4.2.1 Population concernée par le document, d’après le dernier recensement de la population (données INSEE)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bl>
    <w:p>
      <w:pPr>
        <w:pStyle w:val="Normal"/>
        <w:rPr/>
      </w:pPr>
      <w:r>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9641"/>
      </w:tblGrid>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Fonts w:cs="Arial" w:ascii="Arial" w:hAnsi="Arial"/>
                <w:bCs/>
                <w:color w:val="auto"/>
              </w:rPr>
              <w:t>4.2.2 Caractéristiques spatiales</w:t>
            </w:r>
          </w:p>
        </w:tc>
      </w:tr>
      <w:tr>
        <w:trPr/>
        <w:tc>
          <w:tcPr>
            <w:tcW w:w="9641" w:type="dxa"/>
            <w:tcBorders>
              <w:top w:val="single" w:sz="2" w:space="0" w:color="000000"/>
              <w:left w:val="single" w:sz="2" w:space="0" w:color="000000"/>
              <w:bottom w:val="single" w:sz="2" w:space="0" w:color="000000"/>
              <w:right w:val="single" w:sz="2" w:space="0" w:color="000000"/>
            </w:tcBorders>
          </w:tcPr>
          <w:tbl>
            <w:tblPr>
              <w:tblW w:w="9638" w:type="dxa"/>
              <w:jc w:val="center"/>
              <w:tblInd w:w="0" w:type="dxa"/>
              <w:tblLayout w:type="fixed"/>
              <w:tblCellMar>
                <w:top w:w="55" w:type="dxa"/>
                <w:left w:w="55" w:type="dxa"/>
                <w:bottom w:w="55" w:type="dxa"/>
                <w:right w:w="55" w:type="dxa"/>
              </w:tblCellMar>
              <w:tblLook w:firstRow="0" w:noVBand="0" w:lastRow="0" w:firstColumn="0" w:lastColumn="0" w:noHBand="0" w:val="0000"/>
            </w:tblPr>
            <w:tblGrid>
              <w:gridCol w:w="1927"/>
              <w:gridCol w:w="1928"/>
              <w:gridCol w:w="1926"/>
              <w:gridCol w:w="1"/>
              <w:gridCol w:w="1928"/>
              <w:gridCol w:w="1928"/>
            </w:tblGrid>
            <w:tr>
              <w:trPr/>
              <w:tc>
                <w:tcPr>
                  <w:tcW w:w="1927" w:type="dxa"/>
                  <w:tcBorders>
                    <w:top w:val="single" w:sz="2" w:space="0" w:color="000000"/>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Superficie totale (en hectares)</w:t>
                  </w:r>
                </w:p>
              </w:tc>
              <w:tc>
                <w:tcPr>
                  <w:tcW w:w="7711" w:type="dxa"/>
                  <w:gridSpan w:val="5"/>
                  <w:tcBorders>
                    <w:top w:val="single" w:sz="2" w:space="0" w:color="000000"/>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vMerge w:val="restart"/>
                  <w:tcBorders>
                    <w:top w:val="single" w:sz="2" w:space="0" w:color="000000"/>
                    <w:left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Superficie par zones</w:t>
                  </w:r>
                </w:p>
              </w:tc>
              <w:tc>
                <w:tcPr>
                  <w:tcW w:w="3854" w:type="dxa"/>
                  <w:gridSpan w:val="2"/>
                  <w:tcBorders>
                    <w:top w:val="single" w:sz="2" w:space="0" w:color="000000"/>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Actuellement</w:t>
                  </w:r>
                </w:p>
              </w:tc>
              <w:tc>
                <w:tcPr>
                  <w:tcW w:w="3857" w:type="dxa"/>
                  <w:gridSpan w:val="3"/>
                  <w:tcBorders>
                    <w:top w:val="single" w:sz="2" w:space="0" w:color="000000"/>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Après évolution</w:t>
                  </w:r>
                </w:p>
              </w:tc>
            </w:tr>
            <w:tr>
              <w:trPr/>
              <w:tc>
                <w:tcPr>
                  <w:tcW w:w="1927" w:type="dxa"/>
                  <w:vMerge w:val="continue"/>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Superficie (en ha)</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Pourcentage de la superficie du territoire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Superficie (en ha)</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Pourcentage de superficie du territoire</w:t>
                  </w:r>
                </w:p>
              </w:tc>
            </w:tr>
            <w:tr>
              <w:trPr/>
              <w:tc>
                <w:tcPr>
                  <w:tcW w:w="1927"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zones U</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zones 1 AU</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zones 2 AU</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zones A</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Fonts w:cs="Arial" w:ascii="Arial" w:hAnsi="Arial"/>
                      <w:color w:val="auto"/>
                    </w:rPr>
                    <w:t>zones N</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left w:val="single" w:sz="2" w:space="0" w:color="000000"/>
                    <w:bottom w:val="single" w:sz="2"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r>
              <w:trPr/>
              <w:tc>
                <w:tcPr>
                  <w:tcW w:w="1927" w:type="dxa"/>
                  <w:tcBorders>
                    <w:top w:val="single" w:sz="2" w:space="0" w:color="000000"/>
                    <w:left w:val="single" w:sz="2" w:space="0" w:color="000000"/>
                    <w:bottom w:val="single" w:sz="4" w:space="0" w:color="000000"/>
                  </w:tcBorders>
                  <w:vAlign w:val="center"/>
                </w:tcPr>
                <w:p>
                  <w:pPr>
                    <w:pStyle w:val="Default"/>
                    <w:widowControl w:val="false"/>
                    <w:jc w:val="center"/>
                    <w:rPr>
                      <w:rFonts w:ascii="Arial" w:hAnsi="Arial" w:cs="Arial"/>
                      <w:color w:val="auto"/>
                    </w:rPr>
                  </w:pPr>
                  <w:r>
                    <w:rPr>
                      <w:rFonts w:cs="Arial" w:ascii="Arial" w:hAnsi="Arial"/>
                      <w:color w:val="auto"/>
                    </w:rPr>
                    <w:t>Total</w:t>
                  </w:r>
                </w:p>
              </w:tc>
              <w:tc>
                <w:tcPr>
                  <w:tcW w:w="1928" w:type="dxa"/>
                  <w:tcBorders>
                    <w:top w:val="single" w:sz="2" w:space="0" w:color="000000"/>
                    <w:left w:val="single" w:sz="2" w:space="0" w:color="000000"/>
                    <w:bottom w:val="single" w:sz="4"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7" w:type="dxa"/>
                  <w:gridSpan w:val="2"/>
                  <w:tcBorders>
                    <w:top w:val="single" w:sz="2" w:space="0" w:color="000000"/>
                    <w:left w:val="single" w:sz="2" w:space="0" w:color="000000"/>
                    <w:bottom w:val="single" w:sz="4"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top w:val="single" w:sz="2" w:space="0" w:color="000000"/>
                    <w:left w:val="single" w:sz="2" w:space="0" w:color="000000"/>
                    <w:bottom w:val="single" w:sz="4"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c>
                <w:tcPr>
                  <w:tcW w:w="1928" w:type="dxa"/>
                  <w:tcBorders>
                    <w:top w:val="single" w:sz="2" w:space="0" w:color="000000"/>
                    <w:left w:val="single" w:sz="2" w:space="0" w:color="000000"/>
                    <w:bottom w:val="single" w:sz="4" w:space="0" w:color="000000"/>
                    <w:right w:val="single" w:sz="2" w:space="0" w:color="000000"/>
                  </w:tcBorders>
                  <w:vAlign w:val="center"/>
                </w:tcPr>
                <w:p>
                  <w:pPr>
                    <w:pStyle w:val="Default"/>
                    <w:widowControl w:val="false"/>
                    <w:jc w:val="center"/>
                    <w:rPr>
                      <w:rFonts w:ascii="Arial" w:hAnsi="Arial" w:cs="Arial"/>
                      <w:color w:val="auto"/>
                    </w:rPr>
                  </w:pPr>
                  <w:r>
                    <w:rPr>
                      <w:rStyle w:val="PlaceholderText"/>
                    </w:rPr>
                    <w:t>Cliquez ou appuyez ici pour entrer du texte.</w:t>
                  </w:r>
                </w:p>
              </w:tc>
            </w:tr>
          </w:tbl>
          <w:p>
            <w:pPr>
              <w:pStyle w:val="Default"/>
              <w:widowControl w:val="false"/>
              <w:jc w:val="center"/>
              <w:rPr>
                <w:rFonts w:ascii="Arial" w:hAnsi="Arial" w:cs="Arial"/>
                <w:bCs/>
                <w:color w:val="auto"/>
              </w:rPr>
            </w:pPr>
            <w:r>
              <w:rPr>
                <w:rFonts w:cs="Arial" w:ascii="Arial" w:hAnsi="Arial"/>
                <w:bCs/>
                <w:color w:val="auto"/>
              </w:rPr>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eastAsia="SimSun" w:cs="Arial"/>
                <w:color w:val="auto"/>
              </w:rPr>
            </w:pPr>
            <w:r>
              <w:rPr>
                <w:rFonts w:eastAsia="SimSun" w:cs="Arial" w:ascii="Arial" w:hAnsi="Arial"/>
                <w:color w:val="auto"/>
              </w:rPr>
              <w:t>4.2.3 Rappel des objectifs chiffrés de modération de la consommation de l’espace et de lutte contre l’étalement urbain fixés par le projet d’aménagement et de développement durables (PADD).</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Cs/>
                <w:color w:val="auto"/>
              </w:rPr>
            </w:pPr>
            <w:r>
              <w:rPr>
                <w:rStyle w:val="PlaceholderText"/>
              </w:rPr>
              <w:t>Cliquez ou appuyez ici pour entrer du texte.</w:t>
            </w:r>
          </w:p>
        </w:tc>
      </w:tr>
      <w:tr>
        <w:trPr/>
        <w:tc>
          <w:tcPr>
            <w:tcW w:w="9641"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4.3 Caractéristiques de la procédure </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4.3.1 Contenu et objectifs</w:t>
            </w:r>
            <w:r>
              <w:rPr>
                <w:rFonts w:cs="Arial" w:ascii="Arial" w:hAnsi="Arial"/>
                <w:bCs/>
                <w:color w:val="auto"/>
              </w:rPr>
              <w:t xml:space="preserve"> de la procédure</w:t>
            </w:r>
          </w:p>
        </w:tc>
      </w:tr>
      <w:tr>
        <w:trPr/>
        <w:tc>
          <w:tcPr>
            <w:tcW w:w="9641"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4.3.2 La procédure a pour objet d’ouvrir une ou des zones à l’urbanisation ou de pouvoir autoriser des constructions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rPr>
              <w:t>Si oui, préciser la localisation et la superficie</w:t>
            </w:r>
          </w:p>
        </w:tc>
      </w:tr>
      <w:tr>
        <w:trPr/>
        <w:tc>
          <w:tcPr>
            <w:tcW w:w="9641"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eastAsia="Segoe UI" w:cs="Arial"/>
              </w:rPr>
            </w:pPr>
            <w:r>
              <w:rPr>
                <w:rFonts w:cs="Arial" w:ascii="Arial" w:hAnsi="Arial"/>
              </w:rPr>
              <w:t>Les incidences sur l’environnement de cette ouverture à l’urbanisation, ainsi que les incidences au regard des objectifs de conservation d’un site Natura 2000 ou, pour les territoires ulra-marins, au regard des objectifs de conservation des espaces nécessaires aux fonctionnalités écologiques ont-elles été analysées dans l’évaluation environnementale initiale ou dans sa version actualisée</w:t>
            </w:r>
            <w:r>
              <w:rPr>
                <w:rFonts w:eastAsia="Segoe UI" w:cs="Arial" w:ascii="Arial" w:hAnsi="Arial"/>
              </w:rPr>
              <w:t xml:space="preserve"> ?  </w:t>
            </w:r>
          </w:p>
          <w:p>
            <w:pPr>
              <w:pStyle w:val="Default"/>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Default"/>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rPr>
            </w:pPr>
            <w:r>
              <w:rPr>
                <w:rFonts w:cs="Arial" w:ascii="Arial" w:hAnsi="Arial"/>
              </w:rPr>
              <w:t xml:space="preserve">Si oui, préciser les pages de l’évaluation environnementale initiale ou de son actualisation et </w:t>
            </w:r>
            <w:r>
              <w:rPr>
                <w:rFonts w:cs="Arial" w:ascii="Arial" w:hAnsi="Arial"/>
                <w:color w:val="auto"/>
              </w:rPr>
              <w:t>l’adresse du site internet qui permet de prendre connaissance du document</w:t>
            </w:r>
          </w:p>
        </w:tc>
      </w:tr>
      <w:tr>
        <w:trPr/>
        <w:tc>
          <w:tcPr>
            <w:tcW w:w="9641"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eastAsia="Segoe UI" w:cs="Arial"/>
              </w:rPr>
            </w:pPr>
            <w:r>
              <w:rPr>
                <w:rFonts w:cs="Arial" w:ascii="Arial" w:hAnsi="Arial"/>
              </w:rPr>
              <w:t xml:space="preserve">4.3.3 La procédure a pour objet ou pour effet d’augmenter la densité de certains secteurs  </w:t>
            </w:r>
            <w:r>
              <w:rPr>
                <w:rFonts w:eastAsia="Segoe UI" w:cs="Arial" w:ascii="Arial" w:hAnsi="Arial"/>
              </w:rPr>
              <w:t xml:space="preserve">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rPr>
              <w:t>Si oui, préciser la localisation et la superficie</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pPr>
      <w:r>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9641"/>
      </w:tblGrid>
      <w:tr>
        <w:trPr/>
        <w:tc>
          <w:tcPr>
            <w:tcW w:w="9641" w:type="dxa"/>
            <w:tcBorders>
              <w:left w:val="single" w:sz="2" w:space="0" w:color="000000"/>
              <w:bottom w:val="single" w:sz="2" w:space="0" w:color="000000"/>
              <w:right w:val="single" w:sz="2" w:space="0" w:color="000000"/>
            </w:tcBorders>
          </w:tcPr>
          <w:p>
            <w:pPr>
              <w:pStyle w:val="Normal"/>
              <w:widowControl w:val="false"/>
              <w:pBdr>
                <w:top w:val="single" w:sz="4" w:space="1" w:color="000000"/>
              </w:pBdr>
              <w:rPr>
                <w:rFonts w:ascii="Arial" w:hAnsi="Arial" w:cs="Arial"/>
              </w:rPr>
            </w:pPr>
            <w:r>
              <w:rPr>
                <w:rFonts w:cs="Arial" w:ascii="Arial" w:hAnsi="Arial"/>
              </w:rPr>
              <w:t>4.3.4 La procédure a pour objet :</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 xml:space="preserve">- de créer un espace boisé classé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Si oui, préciser la localisation et la superficie</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 xml:space="preserve">- de déclasser un espace boisé classé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Si oui, préciser la localisation et la superficie</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eastAsia="Segoe UI" w:cs="Arial"/>
              </w:rPr>
            </w:pPr>
            <w:r>
              <w:rPr>
                <w:rFonts w:cs="Arial" w:ascii="Arial" w:hAnsi="Arial"/>
              </w:rPr>
              <w:t xml:space="preserve">- de classer de nouveaux espaces agricoles, naturels ou forestiers  </w:t>
            </w:r>
            <w:r>
              <w:rPr>
                <w:rFonts w:eastAsia="Segoe UI" w:cs="Arial" w:ascii="Arial" w:hAnsi="Arial"/>
              </w:rPr>
              <w:t xml:space="preserve">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bCs/>
              </w:rPr>
            </w:pPr>
            <w:r>
              <w:rPr>
                <w:rFonts w:cs="Arial" w:ascii="Arial" w:hAnsi="Arial"/>
                <w:bCs/>
              </w:rPr>
              <w:t>Si oui, préciser la localisation et les superficies</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bCs/>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bCs/>
              </w:rPr>
            </w:pPr>
            <w:r>
              <w:rPr>
                <w:rFonts w:cs="Arial" w:ascii="Arial" w:hAnsi="Arial"/>
                <w:bCs/>
              </w:rPr>
              <w:t xml:space="preserve">- de déclasser un espace agricole, naturel ou forestier     </w:t>
            </w:r>
          </w:p>
          <w:p>
            <w:pPr>
              <w:pStyle w:val="Contenudetableau"/>
              <w:widowControl w:val="false"/>
              <w:ind w:left="1701" w:hanging="0"/>
              <w:jc w:val="both"/>
              <w:rPr>
                <w:rFonts w:ascii="Arial" w:hAnsi="Arial" w:cs="Arial"/>
                <w:bCs/>
              </w:rPr>
            </w:pPr>
            <w:sdt>
              <w:sdtPr>
                <w14:checkbox>
                  <w14:checked w:val="0"/>
                  <w14:checkedState w:val="2612"/>
                  <w14:uncheckedState w:val="2610"/>
                </w14:checkbox>
              </w:sdtPr>
              <w:sdtContent>
                <w:r>
                  <w:rPr>
                    <w:rFonts w:eastAsia="MS Gothic" w:cs="Arial" w:ascii="MS Gothic" w:hAnsi="MS Gothic"/>
                    <w:bCs/>
                  </w:rPr>
                  <w:t>☐</w:t>
                </w:r>
              </w:sdtContent>
            </w:sdt>
            <w:r>
              <w:rPr>
                <w:rFonts w:cs="Arial" w:ascii="Arial" w:hAnsi="Arial"/>
                <w:bCs/>
              </w:rPr>
              <w:t xml:space="preserve">Oui   </w:t>
            </w:r>
          </w:p>
          <w:p>
            <w:pPr>
              <w:pStyle w:val="Contenudetableau"/>
              <w:widowControl w:val="false"/>
              <w:ind w:left="1701" w:hanging="0"/>
              <w:jc w:val="both"/>
              <w:rPr>
                <w:rFonts w:ascii="Arial" w:hAnsi="Arial" w:cs="Arial"/>
                <w:bCs/>
              </w:rPr>
            </w:pPr>
            <w:sdt>
              <w:sdtPr>
                <w14:checkbox>
                  <w14:checked w:val="0"/>
                  <w14:checkedState w:val="2612"/>
                  <w14:uncheckedState w:val="2610"/>
                </w14:checkbox>
              </w:sdtPr>
              <w:sdtContent>
                <w:r>
                  <w:rPr>
                    <w:rFonts w:eastAsia="MS Gothic" w:cs="Arial" w:ascii="MS Gothic" w:hAnsi="MS Gothic"/>
                    <w:bCs/>
                  </w:rPr>
                  <w:t>☐</w:t>
                </w:r>
              </w:sdtContent>
            </w:sdt>
            <w:r>
              <w:rPr>
                <w:rFonts w:cs="Arial" w:ascii="Arial" w:hAnsi="Arial"/>
                <w:bCs/>
              </w:rPr>
              <w:t xml:space="preserve">Non   </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bCs/>
              </w:rPr>
            </w:pPr>
            <w:r>
              <w:rPr>
                <w:rFonts w:cs="Arial" w:ascii="Arial" w:hAnsi="Arial"/>
                <w:bCs/>
              </w:rPr>
              <w:t>Si oui, préciser la localisation et les superficies</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cs="Arial"/>
                <w:bCs/>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eastAsia="Segoe UI" w:cs="Arial"/>
              </w:rPr>
            </w:pPr>
            <w:r>
              <w:rPr>
                <w:rFonts w:cs="Arial" w:ascii="Arial" w:hAnsi="Arial"/>
              </w:rPr>
              <w:t xml:space="preserve">- de créer de nouvelles protections environnementales </w:t>
            </w:r>
            <w:r>
              <w:rPr>
                <w:rFonts w:eastAsia="Segoe UI" w:cs="Arial" w:ascii="Arial" w:hAnsi="Arial"/>
              </w:rPr>
              <w:t xml:space="preserve">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left w:val="single" w:sz="2" w:space="0" w:color="000000"/>
              <w:bottom w:val="single" w:sz="4" w:space="0" w:color="000000"/>
              <w:right w:val="single" w:sz="2" w:space="0" w:color="000000"/>
            </w:tcBorders>
          </w:tcPr>
          <w:p>
            <w:pPr>
              <w:pStyle w:val="Normal"/>
              <w:widowControl w:val="false"/>
              <w:rPr>
                <w:rFonts w:ascii="Arial" w:hAnsi="Arial" w:cs="Arial"/>
              </w:rPr>
            </w:pPr>
            <w:r>
              <w:rPr>
                <w:rFonts w:cs="Arial" w:ascii="Arial" w:hAnsi="Arial"/>
              </w:rPr>
              <w:t>Si oui, préciser les protections et leurs superficies</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Style w:val="PlaceholderText"/>
              </w:rPr>
              <w:t>Cliquez ou appuyez ici pour entrer du texte.</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Normal"/>
              <w:widowControl w:val="false"/>
              <w:rPr>
                <w:rFonts w:ascii="Arial" w:hAnsi="Arial" w:cs="Arial"/>
              </w:rPr>
            </w:pPr>
            <w:r>
              <w:rPr>
                <w:rFonts w:cs="Arial" w:ascii="Arial" w:hAnsi="Arial"/>
              </w:rPr>
              <w:t>- de supprimer une protection édictée en raison des risques de nuisance, qualité des sites, paysages, milieux naturels</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Normal"/>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cs="Arial"/>
              </w:rPr>
            </w:pPr>
            <w:r>
              <w:rPr>
                <w:rFonts w:cs="Arial" w:ascii="Arial" w:hAnsi="Arial"/>
              </w:rPr>
              <w:t>Si oui, préciser les protections et leurs superficies</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Contenudetableau"/>
              <w:widowControl w:val="false"/>
              <w:rPr>
                <w:rFonts w:ascii="Arial" w:hAnsi="Arial" w:cs="Arial"/>
                <w:b/>
                <w:b/>
              </w:rPr>
            </w:pPr>
            <w:r>
              <w:rPr>
                <w:rFonts w:cs="Arial" w:ascii="Arial" w:hAnsi="Arial"/>
                <w:b/>
              </w:rPr>
              <w:t>4.4 Mise en compatibilité du PLU dans le cadre d’une déclaration de projet</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cs="Arial"/>
              </w:rPr>
            </w:pPr>
            <w:r>
              <w:rPr>
                <w:rFonts w:cs="Arial" w:ascii="Arial" w:hAnsi="Arial"/>
              </w:rPr>
              <w:t>- Description de l’opération ou du projet nécessitant la mise en compatibilité et indications des éléments devant être mis en compatibilité avec le projet</w:t>
            </w:r>
          </w:p>
        </w:tc>
      </w:tr>
      <w:tr>
        <w:trPr/>
        <w:tc>
          <w:tcPr>
            <w:tcW w:w="9641" w:type="dxa"/>
            <w:tcBorders>
              <w:left w:val="single" w:sz="2" w:space="0" w:color="000000"/>
              <w:bottom w:val="single" w:sz="4"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Contenudetableau"/>
              <w:widowControl w:val="false"/>
              <w:jc w:val="both"/>
              <w:rPr>
                <w:rFonts w:ascii="Arial" w:hAnsi="Arial" w:cs="Arial"/>
              </w:rPr>
            </w:pPr>
            <w:r>
              <w:rPr>
                <w:rFonts w:cs="Arial" w:ascii="Arial" w:hAnsi="Arial"/>
              </w:rPr>
              <w:t xml:space="preserve">- Le projet concerné par la mise en compatibilité est soumis à évaluation environnementale :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Si oui, préciser l’adresse du site internet qui permet de prendre connaissance de la décision issue de l’examen au cas par cas ou de l’étude d’impact du projet concerné par la mise en compatibilité</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b/>
                <w:b/>
              </w:rPr>
            </w:pPr>
            <w:r>
              <w:rPr>
                <w:rFonts w:cs="Arial" w:ascii="Arial" w:hAnsi="Arial"/>
                <w:b/>
              </w:rPr>
              <w:t>4.5 Mise en compatibilité du PLU dans le cadre d’une procédure intégrée</w:t>
            </w:r>
          </w:p>
          <w:p>
            <w:pPr>
              <w:pStyle w:val="Default"/>
              <w:widowControl w:val="false"/>
              <w:rPr>
                <w:rFonts w:ascii="Arial" w:hAnsi="Arial" w:cs="Arial"/>
                <w:b/>
                <w:b/>
              </w:rPr>
            </w:pPr>
            <w:r>
              <w:rPr>
                <w:rFonts w:cs="Arial" w:ascii="Arial" w:hAnsi="Arial"/>
                <w:b/>
              </w:rPr>
              <w:t xml:space="preserve"> </w:t>
            </w:r>
            <w:r>
              <w:rPr>
                <w:rFonts w:cs="Arial" w:ascii="Arial" w:hAnsi="Arial"/>
                <w:b/>
              </w:rPr>
              <w:t xml:space="preserve">(L. 300-6-1)  </w:t>
            </w:r>
          </w:p>
        </w:tc>
      </w:tr>
      <w:tr>
        <w:trPr/>
        <w:tc>
          <w:tcPr>
            <w:tcW w:w="9641" w:type="dxa"/>
            <w:tcBorders>
              <w:left w:val="single" w:sz="2" w:space="0" w:color="000000"/>
              <w:bottom w:val="single" w:sz="4" w:space="0" w:color="000000"/>
              <w:right w:val="single" w:sz="2" w:space="0" w:color="000000"/>
            </w:tcBorders>
          </w:tcPr>
          <w:p>
            <w:pPr>
              <w:pStyle w:val="Default"/>
              <w:widowControl w:val="false"/>
              <w:rPr>
                <w:rFonts w:ascii="Arial" w:hAnsi="Arial" w:cs="Arial"/>
              </w:rPr>
            </w:pPr>
            <w:r>
              <w:rPr>
                <w:rFonts w:cs="Arial" w:ascii="Arial" w:hAnsi="Arial"/>
              </w:rPr>
              <w:t>- Description de l’opération ou du projet nécessitant la mise en compatibilité et indications des éléments devant être mis en compatibilité avec le projet</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Fonts w:cs="Arial" w:ascii="Arial" w:hAnsi="Arial"/>
              </w:rPr>
              <w:t xml:space="preserve">- Le projet concerné par la mise en compatibilité est soumis à évaluation environnementale : </w:t>
            </w:r>
          </w:p>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rHeight w:val="343" w:hRule="atLeast"/>
        </w:trPr>
        <w:tc>
          <w:tcPr>
            <w:tcW w:w="9641"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Fonts w:cs="Arial" w:ascii="Arial" w:hAnsi="Arial"/>
              </w:rPr>
              <w:t>Si oui, préciser l’adresse du site internet qui permet de prendre connaissance de la décision issue de l’examen au cas par cas ou de  l’étude d’impact du projet concerné par la mise en compatibilité</w:t>
            </w:r>
          </w:p>
        </w:tc>
      </w:tr>
      <w:tr>
        <w:trPr>
          <w:trHeight w:val="343" w:hRule="atLeast"/>
        </w:trPr>
        <w:tc>
          <w:tcPr>
            <w:tcW w:w="9641" w:type="dxa"/>
            <w:tcBorders>
              <w:top w:val="single" w:sz="4" w:space="0" w:color="000000"/>
              <w:left w:val="single" w:sz="2" w:space="0" w:color="000000"/>
              <w:bottom w:val="single" w:sz="2" w:space="0" w:color="000000"/>
              <w:right w:val="single" w:sz="2" w:space="0" w:color="000000"/>
            </w:tcBorders>
          </w:tcPr>
          <w:p>
            <w:pPr>
              <w:pStyle w:val="Contenudetableau"/>
              <w:widowControl w:val="false"/>
              <w:jc w:val="both"/>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Normal"/>
              <w:widowControl w:val="false"/>
              <w:rPr>
                <w:rFonts w:ascii="Arial" w:hAnsi="Arial" w:cs="Arial"/>
                <w:b/>
                <w:b/>
              </w:rPr>
            </w:pPr>
            <w:r>
              <w:rPr>
                <w:rFonts w:cs="Arial" w:ascii="Arial" w:hAnsi="Arial"/>
                <w:b/>
              </w:rPr>
              <w:t>4.6 Mise en compatibilité du PLU avec un document supérieur</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Fonts w:cs="Arial" w:ascii="Arial" w:hAnsi="Arial"/>
              </w:rPr>
              <w:t>- Document(s) avec le(s)quel(s) le PLU est mis en compatibilité :</w:t>
            </w:r>
            <w:r>
              <w:rPr>
                <w:rFonts w:eastAsia="SimSun" w:cs="Arial" w:ascii="Arial" w:hAnsi="Arial"/>
                <w:color w:val="auto"/>
              </w:rPr>
              <w:t xml:space="preserve"> parmi les documents listés à la </w:t>
            </w:r>
            <w:r>
              <w:rPr>
                <w:rFonts w:eastAsia="SimSun" w:cs="Arial" w:ascii="Arial" w:hAnsi="Arial"/>
                <w:b/>
                <w:i/>
                <w:color w:val="auto"/>
              </w:rPr>
              <w:t xml:space="preserve">rubrique 3.1, </w:t>
            </w:r>
            <w:r>
              <w:rPr>
                <w:rFonts w:cs="Arial" w:ascii="Arial" w:hAnsi="Arial"/>
              </w:rPr>
              <w:t>intitulé du document, date d’approbation et l’adresse du site internet qui permet de prendre connaissance du document</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41" w:type="dxa"/>
            <w:tcBorders>
              <w:left w:val="single" w:sz="2" w:space="0" w:color="000000"/>
              <w:bottom w:val="single" w:sz="2" w:space="0" w:color="000000"/>
              <w:right w:val="single" w:sz="2" w:space="0" w:color="000000"/>
            </w:tcBorders>
          </w:tcPr>
          <w:p>
            <w:pPr>
              <w:pStyle w:val="Default"/>
              <w:widowControl w:val="false"/>
              <w:rPr>
                <w:rFonts w:ascii="Arial" w:hAnsi="Arial" w:cs="Arial"/>
              </w:rPr>
            </w:pPr>
            <w:r>
              <w:rPr>
                <w:rFonts w:cs="Arial" w:ascii="Arial" w:hAnsi="Arial"/>
              </w:rPr>
              <w:t>- Motif pour lequel le PLU est mis en compatibilité</w:t>
            </w:r>
          </w:p>
        </w:tc>
      </w:tr>
      <w:tr>
        <w:trPr/>
        <w:tc>
          <w:tcPr>
            <w:tcW w:w="9641" w:type="dxa"/>
            <w:tcBorders>
              <w:left w:val="single" w:sz="2" w:space="0" w:color="000000"/>
              <w:bottom w:val="single" w:sz="4" w:space="0" w:color="000000"/>
              <w:right w:val="single" w:sz="2" w:space="0" w:color="000000"/>
            </w:tcBorders>
          </w:tcPr>
          <w:p>
            <w:pPr>
              <w:pStyle w:val="Default"/>
              <w:widowControl w:val="false"/>
              <w:rPr>
                <w:rFonts w:ascii="Arial" w:hAnsi="Arial" w:cs="Arial"/>
              </w:rPr>
            </w:pPr>
            <w:r>
              <w:rPr>
                <w:rStyle w:val="PlaceholderText"/>
              </w:rPr>
              <w:t>Cliquez ou appuyez ici pour entrer du texte.</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Fonts w:cs="Arial" w:ascii="Arial" w:hAnsi="Arial"/>
                <w:b/>
              </w:rPr>
              <w:t>4</w:t>
            </w:r>
            <w:r>
              <w:rPr>
                <w:rFonts w:cs="Arial" w:ascii="Arial" w:hAnsi="Arial"/>
              </w:rPr>
              <w:t>.</w:t>
            </w:r>
            <w:r>
              <w:rPr>
                <w:rFonts w:cs="Arial" w:ascii="Arial" w:hAnsi="Arial"/>
                <w:b/>
              </w:rPr>
              <w:t>7 La procédure a des effets au-delà des frontières nationales</w:t>
            </w:r>
            <w:r>
              <w:rPr>
                <w:rFonts w:cs="Arial" w:ascii="Arial" w:hAnsi="Arial"/>
              </w:rPr>
              <w:t xml:space="preserve"> </w:t>
            </w:r>
          </w:p>
          <w:p>
            <w:pPr>
              <w:pStyle w:val="Default"/>
              <w:widowControl w:val="false"/>
              <w:ind w:left="1701" w:hanging="0"/>
              <w:rPr>
                <w:rFonts w:ascii="Arial" w:hAnsi="Arial" w:cs="Arial"/>
                <w:b/>
                <w:b/>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p>
          <w:p>
            <w:pPr>
              <w:pStyle w:val="Default"/>
              <w:widowControl w:val="false"/>
              <w:ind w:left="1701" w:hanging="0"/>
              <w:rPr>
                <w:rFonts w:ascii="Arial" w:hAnsi="Arial" w:cs="Arial"/>
                <w:b/>
                <w:b/>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r>
              <w:rPr>
                <w:rFonts w:cs="Arial" w:ascii="Arial" w:hAnsi="Arial"/>
              </w:rPr>
              <w:t xml:space="preserve"> </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b/>
                <w:b/>
              </w:rPr>
            </w:pPr>
            <w:r>
              <w:rPr>
                <w:rFonts w:cs="Arial" w:ascii="Arial" w:hAnsi="Arial"/>
                <w:b/>
              </w:rPr>
              <w:t>Si oui, préciser les effets</w:t>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rPr>
            </w:pPr>
            <w:r>
              <w:rPr>
                <w:rStyle w:val="PlaceholderText"/>
              </w:rPr>
              <w:t>Cliquez ou appuyez ici pour entrer du texte.</w:t>
            </w:r>
          </w:p>
        </w:tc>
      </w:tr>
      <w:tr>
        <w:trPr/>
        <w:tc>
          <w:tcPr>
            <w:tcW w:w="9641" w:type="dxa"/>
            <w:tcBorders>
              <w:top w:val="single" w:sz="4" w:space="0" w:color="000000"/>
              <w:bottom w:val="single" w:sz="4" w:space="0" w:color="000000"/>
            </w:tcBorders>
          </w:tcPr>
          <w:p>
            <w:pPr>
              <w:pStyle w:val="Normal"/>
              <w:widowControl w:val="false"/>
              <w:rPr>
                <w:rFonts w:ascii="Arial" w:hAnsi="Arial" w:eastAsia="Century Gothic" w:cs="Arial"/>
              </w:rPr>
            </w:pPr>
            <w:r>
              <w:rPr>
                <w:rFonts w:eastAsia="Century Gothic" w:cs="Arial" w:ascii="Arial" w:hAnsi="Arial"/>
              </w:rPr>
            </w:r>
          </w:p>
        </w:tc>
      </w:tr>
      <w:tr>
        <w:trPr/>
        <w:tc>
          <w:tcPr>
            <w:tcW w:w="9641"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bCs/>
                <w:color w:val="auto"/>
              </w:rPr>
            </w:pPr>
            <w:r>
              <w:rPr>
                <w:rFonts w:cs="Arial" w:ascii="Arial" w:hAnsi="Arial"/>
                <w:b/>
                <w:bCs/>
                <w:color w:val="auto"/>
              </w:rPr>
              <w:t>5. Sensibilité environnementale du territoire concerné par la procédure</w:t>
            </w:r>
          </w:p>
        </w:tc>
      </w:tr>
      <w:tr>
        <w:trPr/>
        <w:tc>
          <w:tcPr>
            <w:tcW w:w="9641"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5.1 Le plan local d’urbanisme est concerné par :</w:t>
            </w:r>
          </w:p>
        </w:tc>
      </w:tr>
    </w:tbl>
    <w:p>
      <w:pPr>
        <w:pStyle w:val="Normal"/>
        <w:rPr>
          <w:rFonts w:ascii="Arial" w:hAnsi="Arial" w:cs="Arial"/>
          <w:vanish/>
        </w:rPr>
      </w:pPr>
      <w:r>
        <w:rPr>
          <w:rFonts w:cs="Arial" w:ascii="Arial" w:hAnsi="Arial"/>
          <w:vanish/>
        </w:rPr>
      </w:r>
    </w:p>
    <w:tbl>
      <w:tblPr>
        <w:tblW w:w="9640"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4"/>
        <w:gridCol w:w="795"/>
        <w:gridCol w:w="4025"/>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4"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5"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5"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88393145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09692696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0482412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61325720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site désigné Natura 2000 en application de l’article L. 414-1 du code de l’environnement (ZICO, ZPS, ZSC)</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83186849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63202629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cœur de parc national délimité en application de l’article L. 331-2 du code de l’environnement</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213814732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3623177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Une réserve naturelle ou un périmètre de protection autour d’une réserve institués en application, respectivement, des articles L. 332-1 et L. 332-16 du code de l’environnement</w:t>
            </w:r>
          </w:p>
        </w:tc>
        <w:tc>
          <w:tcPr>
            <w:tcW w:w="744"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5795461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32263378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site inscrit ou classé en application des articles L. 341-1 et L. 341-2 du code de l’environnement</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93241934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92463773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technologiques prévu à l’article L. 515-15 du code de l’environnement</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16908595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193945826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43494223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75847357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2142650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89103062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7324044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85117738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4356899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72193456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site patrimonial remarquable créé en application des articles L. 631-1 et L. 632-2 du code du patrimoine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3393056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06445755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Des abords des monuments historiques prévus aux articles L. 621-30 et L. 621-31</w:t>
            </w:r>
            <w:hyperlink r:id="rId3">
              <w:r>
                <w:rPr>
                  <w:rFonts w:cs="Arial" w:ascii="Arial" w:hAnsi="Arial"/>
                </w:rPr>
                <w:t xml:space="preserve"> </w:t>
              </w:r>
            </w:hyperlink>
            <w:r>
              <w:rPr>
                <w:rFonts w:cs="Arial" w:ascii="Arial" w:hAnsi="Arial"/>
              </w:rPr>
              <w:t>du code du patrimoine</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4778086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15849930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color w:val="auto"/>
              </w:rPr>
            </w:pPr>
            <w:r>
              <w:rPr>
                <w:rFonts w:cs="Arial" w:ascii="Arial" w:hAnsi="Arial"/>
                <w:color w:val="auto"/>
              </w:rPr>
              <w:t>Une zone humide prévue à l’article L. 211-1 du code de l’environnement</w:t>
            </w:r>
          </w:p>
        </w:tc>
        <w:tc>
          <w:tcPr>
            <w:tcW w:w="744"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94241003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2775513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Une trame verte et bleue prévue à l’article L. 371-1 du code de l’environnement (préciser réservoir de biodiversité et/ou corridor écologique)</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8109073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04367095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Une ZNIEFF (préciser type I ou II) prévue à l’article L. 411-1 A du code de l’environnement</w:t>
            </w:r>
          </w:p>
        </w:tc>
        <w:tc>
          <w:tcPr>
            <w:tcW w:w="744" w:type="dxa"/>
            <w:tcBorders>
              <w:left w:val="single" w:sz="2" w:space="0" w:color="000000"/>
              <w:bottom w:val="single" w:sz="2" w:space="0" w:color="000000"/>
            </w:tcBorders>
            <w:vAlign w:val="center"/>
          </w:tcPr>
          <w:sdt>
            <w:sdtPr>
              <w14:checkbox>
                <w14:checked w:val="0"/>
                <w14:checkedState w:val="2612"/>
                <w14:uncheckedState w:val="2610"/>
              </w14:checkbox>
              <w:id w:val="185347488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2" w:space="0" w:color="000000"/>
            </w:tcBorders>
            <w:vAlign w:val="center"/>
          </w:tcPr>
          <w:sdt>
            <w:sdtPr>
              <w14:checkbox>
                <w14:checked w:val="0"/>
                <w14:checkedState w:val="2612"/>
                <w14:uncheckedState w:val="2610"/>
              </w14:checkbox>
              <w:id w:val="8622692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 espace naturel sensible prévu à l’article L. 113-8 du code de l’urbanisme</w:t>
            </w:r>
          </w:p>
        </w:tc>
        <w:tc>
          <w:tcPr>
            <w:tcW w:w="744" w:type="dxa"/>
            <w:tcBorders>
              <w:left w:val="single" w:sz="2" w:space="0" w:color="000000"/>
              <w:bottom w:val="single" w:sz="4" w:space="0" w:color="000000"/>
            </w:tcBorders>
            <w:vAlign w:val="center"/>
          </w:tcPr>
          <w:sdt>
            <w:sdtPr>
              <w14:checkbox>
                <w14:checked w:val="0"/>
                <w14:checkedState w:val="2612"/>
                <w14:uncheckedState w:val="2610"/>
              </w14:checkbox>
              <w:id w:val="115823185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left w:val="single" w:sz="2" w:space="0" w:color="000000"/>
              <w:bottom w:val="single" w:sz="4" w:space="0" w:color="000000"/>
            </w:tcBorders>
            <w:vAlign w:val="center"/>
          </w:tcPr>
          <w:sdt>
            <w:sdtPr>
              <w14:checkbox>
                <w14:checked w:val="0"/>
                <w14:checkedState w:val="2612"/>
                <w14:uncheckedState w:val="2610"/>
              </w14:checkbox>
              <w:id w:val="186481087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Un espace concerné par :</w:t>
            </w:r>
          </w:p>
          <w:p>
            <w:pPr>
              <w:pStyle w:val="Default"/>
              <w:widowControl w:val="false"/>
              <w:jc w:val="both"/>
              <w:rPr>
                <w:rFonts w:ascii="Arial" w:hAnsi="Arial" w:cs="Arial"/>
                <w:color w:val="auto"/>
              </w:rPr>
            </w:pPr>
            <w:r>
              <w:rPr>
                <w:rFonts w:cs="Arial" w:ascii="Arial" w:hAnsi="Arial"/>
                <w:color w:val="auto"/>
              </w:rPr>
              <w:t xml:space="preserve">- un arrêté de protection de biotope prévu à l’article R. 411-15 du code de l’environnement ; </w:t>
            </w:r>
          </w:p>
          <w:p>
            <w:pPr>
              <w:pStyle w:val="Default"/>
              <w:widowControl w:val="false"/>
              <w:jc w:val="both"/>
              <w:rPr>
                <w:rFonts w:ascii="Arial" w:hAnsi="Arial" w:cs="Arial"/>
                <w:color w:val="auto"/>
              </w:rPr>
            </w:pPr>
            <w:r>
              <w:rPr>
                <w:rFonts w:cs="Arial" w:ascii="Arial" w:hAnsi="Arial"/>
                <w:color w:val="auto"/>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4"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56640446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29847931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espace boisé classé prévu à l’article L. 113-1 du code de l’urbanisme, une forêt de protection prévue à l’article L. 141-1 du code forestier</w:t>
            </w:r>
          </w:p>
        </w:tc>
        <w:tc>
          <w:tcPr>
            <w:tcW w:w="744"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937609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8555187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Autre protection</w:t>
            </w:r>
          </w:p>
        </w:tc>
        <w:tc>
          <w:tcPr>
            <w:tcW w:w="744"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61572666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5"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108773006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5" w:type="dxa"/>
            <w:tcBorders>
              <w:top w:val="single" w:sz="2"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5.2 Le ou les secteurs qui font l’objet de la procédure donnant lieu à la saisine sont concernés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4"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98383533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33016033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87978997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94178581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Un plan de prévention des risques technologiques prévu à l’article L. 515-15 du code de l’environnement</w:t>
            </w:r>
          </w:p>
        </w:tc>
        <w:tc>
          <w:tcPr>
            <w:tcW w:w="743"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43637018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20494191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28662878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22616942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204482106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84406063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8275955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2958798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vAlign w:val="center"/>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45165519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78119609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32388398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36606505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2"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2"/>
      </w:tblGrid>
      <w:tr>
        <w:trPr/>
        <w:tc>
          <w:tcPr>
            <w:tcW w:w="9632"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5.3 Le ou les secteurs qui font l’objet de la procédure donnant lieu à la saisine se situent dans ou à proximité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Lequel et à quelle distance ?</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D’un site désigné Natura 2000 en application de l’article L. 414-1 du code de l’environnement (ZICO, ZPS, ZSC)</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70690392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141233328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cœur de parc national délimité en application de l’article L. 331-2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8766198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05236223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D’une réserve naturelle ou un périmètre de protection autour d’une réserve institués en application, respectivement, de l’article L. 332-1 et des articles L. 332-16 à L. 332-18 du code de l’environnement</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5358370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89155344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site inscrit ou classé en application des articles L. 341-1 et L. 341-2 du code de l’environnement</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95624834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10780221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site patrimonial remarquable créé en application des articles L. 631-1 et L. 632-2 du code du patrimoine</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83605479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27123523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abord des monuments historiques prévus aux articles L. 621-30 et L. 621-31</w:t>
            </w:r>
            <w:hyperlink r:id="rId4">
              <w:r>
                <w:rPr>
                  <w:rFonts w:cs="Arial" w:ascii="Arial" w:hAnsi="Arial"/>
                </w:rPr>
                <w:t xml:space="preserve"> </w:t>
              </w:r>
            </w:hyperlink>
            <w:r>
              <w:rPr>
                <w:rFonts w:cs="Arial" w:ascii="Arial" w:hAnsi="Arial"/>
              </w:rPr>
              <w:t>du code du patrimoine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38529893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76754703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zone humide prévue à l’article L. 211-1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9802196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240899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trame verte et bleue prévue à l’article L. 371-1 du code de l’environnement (préciser réservoir de biodiversité et/ou corridor écologique)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5507301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4020405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ZNIEFF (préciser type I ou II) prévue à l’article L. 411-1 A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8025933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3189215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naturel sensible prévu à l’article L. 113-8 du code de l’urbanisme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7190667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14164976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rPr>
                <w:rFonts w:ascii="Arial" w:hAnsi="Arial" w:cs="Arial"/>
              </w:rPr>
            </w:pPr>
            <w:r>
              <w:rPr>
                <w:rFonts w:cs="Arial" w:ascii="Arial" w:hAnsi="Arial"/>
              </w:rPr>
              <w:t>D’un espace concerné par :</w:t>
            </w:r>
          </w:p>
          <w:p>
            <w:pPr>
              <w:pStyle w:val="Default"/>
              <w:widowControl w:val="false"/>
              <w:rPr>
                <w:rFonts w:ascii="Arial" w:hAnsi="Arial" w:cs="Arial"/>
              </w:rPr>
            </w:pPr>
            <w:r>
              <w:rPr>
                <w:rFonts w:cs="Arial" w:ascii="Arial" w:hAnsi="Arial"/>
              </w:rPr>
              <w:t xml:space="preserve">- un arrêté de protection de biotope prévu à l’article R. 411-15 du code de l’environnement ; </w:t>
            </w:r>
          </w:p>
          <w:p>
            <w:pPr>
              <w:pStyle w:val="Default"/>
              <w:widowControl w:val="false"/>
              <w:rPr>
                <w:rFonts w:ascii="Arial" w:hAnsi="Arial" w:cs="Arial"/>
              </w:rPr>
            </w:pPr>
            <w:r>
              <w:rPr>
                <w:rFonts w:cs="Arial" w:ascii="Arial" w:hAnsi="Arial"/>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26655907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53662156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D’un espace boisé classé prévu à l’article L. 113-1 du code de l’urbanisme, une forêt de protection prévue à l’article L. 141-1 du code forestier</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31086754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60676977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151-19 du code de l’urbanisme</w:t>
            </w:r>
          </w:p>
        </w:tc>
        <w:tc>
          <w:tcPr>
            <w:tcW w:w="743"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05703182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4" w:space="0" w:color="000000"/>
              <w:bottom w:val="single" w:sz="4" w:space="0" w:color="000000"/>
              <w:right w:val="single" w:sz="4" w:space="0" w:color="000000"/>
            </w:tcBorders>
            <w:vAlign w:val="center"/>
          </w:tcPr>
          <w:sdt>
            <w:sdtPr>
              <w14:checkbox>
                <w14:checked w:val="0"/>
                <w14:checkedState w:val="2612"/>
                <w14:uncheckedState w:val="2610"/>
              </w14:checkbox>
              <w:id w:val="172333947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151-23 du code de l’urbanisme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6036244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5777154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123266815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19277056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4" w:space="0" w:color="000000"/>
              <w:right w:val="single" w:sz="2" w:space="0" w:color="000000"/>
            </w:tcBorders>
            <w:shd w:color="auto" w:fill="auto" w:val="clear"/>
          </w:tcPr>
          <w:p>
            <w:pPr>
              <w:pStyle w:val="Default"/>
              <w:widowControl w:val="false"/>
              <w:jc w:val="both"/>
              <w:rPr>
                <w:rFonts w:ascii="Arial" w:hAnsi="Arial" w:cs="Arial"/>
                <w:b/>
                <w:b/>
                <w:bCs/>
                <w:color w:val="auto"/>
              </w:rPr>
            </w:pPr>
            <w:r>
              <w:rPr>
                <w:rFonts w:cs="Arial" w:ascii="Arial" w:hAnsi="Arial"/>
                <w:b/>
                <w:bCs/>
                <w:color w:val="auto"/>
              </w:rPr>
              <w:t>5.4 Des constructions à usage d’habitation ou des établissements recevant du public sont-ils prévus dans des zones de nuisances (nuisances sonores, qualité de l’air, pollution des sols, etc.) ?</w:t>
            </w:r>
          </w:p>
        </w:tc>
      </w:tr>
      <w:tr>
        <w:trPr/>
        <w:tc>
          <w:tcPr>
            <w:tcW w:w="9638"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rHeight w:val="77" w:hRule="atLeast"/>
        </w:trPr>
        <w:tc>
          <w:tcPr>
            <w:tcW w:w="9638"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rPr>
                <w:rFonts w:ascii="Arial" w:hAnsi="Arial" w:eastAsia="Segoe UI" w:cs="Arial"/>
                <w:color w:val="auto"/>
              </w:rPr>
            </w:pPr>
            <w:r>
              <w:rPr>
                <w:rFonts w:eastAsia="Segoe UI" w:cs="Arial" w:ascii="Arial" w:hAnsi="Arial"/>
                <w:color w:val="auto"/>
              </w:rPr>
              <w:t>Si oui, précisez :</w:t>
            </w:r>
          </w:p>
        </w:tc>
      </w:tr>
      <w:tr>
        <w:trPr/>
        <w:tc>
          <w:tcPr>
            <w:tcW w:w="9638"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rPr>
                <w:rFonts w:ascii="Arial" w:hAnsi="Arial" w:eastAsia="Segoe UI" w:cs="Arial"/>
                <w:color w:val="auto"/>
              </w:rPr>
            </w:pPr>
            <w:r>
              <w:rPr>
                <w:rStyle w:val="PlaceholderText"/>
              </w:rPr>
              <w:t>Cliquez ou appuyez ici pour entrer du texte.</w:t>
            </w:r>
          </w:p>
        </w:tc>
      </w:tr>
    </w:tbl>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6. Auto-évaluation</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xml:space="preserve">L’auto-évaluation doit </w:t>
            </w:r>
            <w:r>
              <w:rPr>
                <w:rFonts w:cs="Arial" w:ascii="Arial" w:hAnsi="Arial"/>
                <w:b/>
                <w:color w:val="auto"/>
              </w:rPr>
              <w:t>identifier</w:t>
            </w:r>
            <w:r>
              <w:rPr>
                <w:rFonts w:cs="Arial" w:ascii="Arial" w:hAnsi="Arial"/>
                <w:color w:val="auto"/>
              </w:rPr>
              <w:t xml:space="preserve"> les effets potentiels de la procédure qui fait l’objet du présent formulaire compte-tenu de sa nature, de sa localisation – c’est-à-dire en prenant en compte la sensibilité du territoire concerné - et </w:t>
            </w:r>
            <w:r>
              <w:rPr>
                <w:rFonts w:cs="Arial" w:ascii="Arial" w:hAnsi="Arial"/>
                <w:b/>
                <w:color w:val="auto"/>
              </w:rPr>
              <w:t>expliquer</w:t>
            </w:r>
            <w:r>
              <w:rPr>
                <w:rFonts w:cs="Arial" w:ascii="Arial" w:hAnsi="Arial"/>
                <w:color w:val="auto"/>
              </w:rPr>
              <w:t xml:space="preserve"> pourquoi la procédure concernée n’est pas susceptible d’avoir des incidences notables sur l’environnement.</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i/>
                <w:iCs/>
                <w:color w:val="auto"/>
              </w:rPr>
              <w:t>Se reporter à la rubrique 6 de la notice explicative pour le détail de la démarche permettant l’auto-évaluation. Fournir une note détaillée en annexe (cf. point 8).</w:t>
            </w:r>
          </w:p>
        </w:tc>
      </w:tr>
    </w:tbl>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7. Autres procédures consultatives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7.1 Date prévisionnelle de transmission du projet aux personnes publiques associées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7.2 Autres consultations envisagées (consultations obligatoires et facultatives)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7.3 Procédure de participation du public envisagée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 enquête publique   </w:t>
            </w:r>
            <w:r>
              <w:rPr>
                <w:rFonts w:eastAsia="Segoe UI"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participation du public par voie électronique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 xml:space="preserve">- enquête publique unique organisée avec une ou plusieurs autres procédures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Si oui, préciser lesquelles</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autre, préciser les modalités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8. Annexes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8.1 Annexes obligatoires</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07"/>
        <w:gridCol w:w="8716"/>
        <w:gridCol w:w="415"/>
      </w:tblGrid>
      <w:tr>
        <w:trPr/>
        <w:tc>
          <w:tcPr>
            <w:tcW w:w="507"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1</w:t>
            </w:r>
          </w:p>
        </w:tc>
        <w:tc>
          <w:tcPr>
            <w:tcW w:w="8716"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Dossier de révision, modification ou mise en compatibilité du PLU (comprenant notamment, le cas échéant, l’exposé des motifs des changements apportés)</w:t>
            </w:r>
          </w:p>
        </w:tc>
        <w:tc>
          <w:tcPr>
            <w:tcW w:w="415" w:type="dxa"/>
            <w:tcBorders>
              <w:top w:val="single" w:sz="2"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70722892"/>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2</w:t>
            </w:r>
          </w:p>
        </w:tc>
        <w:tc>
          <w:tcPr>
            <w:tcW w:w="8716" w:type="dxa"/>
            <w:tcBorders>
              <w:left w:val="single" w:sz="2" w:space="0" w:color="000000"/>
              <w:bottom w:val="single" w:sz="2" w:space="0" w:color="000000"/>
            </w:tcBorders>
          </w:tcPr>
          <w:p>
            <w:pPr>
              <w:pStyle w:val="Contenudetableau"/>
              <w:widowControl w:val="false"/>
              <w:rPr>
                <w:rFonts w:ascii="Arial" w:hAnsi="Arial" w:cs="Arial"/>
              </w:rPr>
            </w:pPr>
            <w:r>
              <w:rPr>
                <w:rFonts w:cs="Arial" w:ascii="Arial" w:hAnsi="Arial"/>
              </w:rPr>
              <w:t>Documents graphiques matérialisant la localisation des secteurs du territoire concernés par la procédure soumise à l’avis de l’autorité environnementale et comportant des zooms qui permettent de localiser et identifier les secteurs avant et après mise en œuvre des opérations (</w:t>
            </w:r>
            <w:r>
              <w:rPr>
                <w:rFonts w:cs="Arial" w:ascii="Arial" w:hAnsi="Arial"/>
                <w:b/>
                <w:i/>
              </w:rPr>
              <w:t>rubrique 2.5</w:t>
            </w:r>
            <w:r>
              <w:rPr>
                <w:rFonts w:cs="Arial" w:ascii="Arial" w:hAnsi="Arial"/>
              </w:rPr>
              <w:t xml:space="preserve">).  </w:t>
            </w:r>
          </w:p>
        </w:tc>
        <w:tc>
          <w:tcPr>
            <w:tcW w:w="415" w:type="dxa"/>
            <w:tcBorders>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243127354"/>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3</w:t>
            </w:r>
          </w:p>
        </w:tc>
        <w:tc>
          <w:tcPr>
            <w:tcW w:w="8716" w:type="dxa"/>
            <w:tcBorders>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L’auto-évaluation (</w:t>
            </w:r>
            <w:r>
              <w:rPr>
                <w:rFonts w:cs="Arial" w:ascii="Arial" w:hAnsi="Arial"/>
                <w:b/>
                <w:i/>
              </w:rPr>
              <w:t>rubrique 6</w:t>
            </w:r>
            <w:r>
              <w:rPr>
                <w:rFonts w:cs="Arial" w:ascii="Arial" w:hAnsi="Arial"/>
              </w:rPr>
              <w:t>)</w:t>
            </w:r>
          </w:p>
        </w:tc>
        <w:tc>
          <w:tcPr>
            <w:tcW w:w="415" w:type="dxa"/>
            <w:tcBorders>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061485359"/>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4</w:t>
            </w:r>
          </w:p>
        </w:tc>
        <w:tc>
          <w:tcPr>
            <w:tcW w:w="8716" w:type="dxa"/>
            <w:tcBorders>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 xml:space="preserve">Version dématérialisée du document mentionné dans les rubriques 2.3, 4.3.2, 4.4, 4.5 et 4.6 lorsqu’il n’est pas consultable sur un site </w:t>
            </w:r>
            <w:r>
              <w:rPr>
                <w:rFonts w:cs="Arial" w:ascii="Arial" w:hAnsi="Arial"/>
                <w:i/>
                <w:iCs/>
              </w:rPr>
              <w:t>Internet</w:t>
            </w:r>
          </w:p>
        </w:tc>
        <w:tc>
          <w:tcPr>
            <w:tcW w:w="415" w:type="dxa"/>
            <w:tcBorders>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314488723"/>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8.2 Autres annexes volontairement transmises par le déposant</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rFonts w:ascii="Arial" w:hAnsi="Arial" w:cs="Arial"/>
                <w:color w:val="auto"/>
              </w:rPr>
            </w:pPr>
            <w:r>
              <w:rPr>
                <w:rFonts w:cs="Arial" w:ascii="Arial" w:hAnsi="Arial"/>
                <w:color w:val="auto"/>
              </w:rPr>
              <w:t>Veuillez préciser les annexes jointes au présent formulaire, ainsi que les rubriques auxquelles elles se rattachent</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9. Engagement et signature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Je certifie sur l’honneur l’exactitude des renseignements ci-dessus  </w:t>
            </w:r>
            <w:r>
              <w:rPr>
                <w:rFonts w:eastAsia="Segoe UI" w:cs="Arial" w:ascii="Arial" w:hAnsi="Arial"/>
                <w:color w:val="auto"/>
              </w:rPr>
              <w:t xml:space="preserve"> </w:t>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t>(personne publique responsable)</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14"/>
        <w:gridCol w:w="3523"/>
        <w:gridCol w:w="1354"/>
        <w:gridCol w:w="3746"/>
      </w:tblGrid>
      <w:tr>
        <w:trPr/>
        <w:tc>
          <w:tcPr>
            <w:tcW w:w="1014"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t>Fait à</w:t>
            </w:r>
          </w:p>
        </w:tc>
        <w:tc>
          <w:tcPr>
            <w:tcW w:w="3523"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t>le,</w:t>
            </w:r>
          </w:p>
        </w:tc>
        <w:tc>
          <w:tcPr>
            <w:tcW w:w="3746"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Nom</w:t>
            </w:r>
          </w:p>
        </w:tc>
        <w:tc>
          <w:tcPr>
            <w:tcW w:w="352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Prénom</w:t>
            </w:r>
          </w:p>
        </w:tc>
        <w:tc>
          <w:tcPr>
            <w:tcW w:w="374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top w:val="single" w:sz="4"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Qualité</w:t>
            </w:r>
          </w:p>
        </w:tc>
        <w:tc>
          <w:tcPr>
            <w:tcW w:w="3523" w:type="dxa"/>
            <w:tcBorders>
              <w:top w:val="single" w:sz="4" w:space="0" w:color="000000"/>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4"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3746"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tc>
      </w:tr>
      <w:tr>
        <w:trPr/>
        <w:tc>
          <w:tcPr>
            <w:tcW w:w="9637" w:type="dxa"/>
            <w:gridSpan w:val="4"/>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Signature</w:t>
            </w:r>
          </w:p>
          <w:p>
            <w:pPr>
              <w:pStyle w:val="Default"/>
              <w:widowControl w:val="false"/>
              <w:rPr>
                <w:rFonts w:ascii="Arial" w:hAnsi="Arial" w:cs="Arial"/>
                <w:color w:val="auto"/>
              </w:rPr>
            </w:pPr>
            <w:r>
              <w:rPr>
                <w:rFonts w:cs="Arial" w:ascii="Arial" w:hAnsi="Arial"/>
                <w:color w:val="auto"/>
              </w:rPr>
            </w:r>
          </w:p>
          <w:sdt>
            <w:sdtPr>
              <w:picture/>
              <w:id w:val="1477844586"/>
            </w:sdtPr>
            <w:sdtContent>
              <w:p>
                <w:pPr>
                  <w:pStyle w:val="Default"/>
                  <w:widowControl w:val="false"/>
                  <w:rPr>
                    <w:rFonts w:ascii="Arial" w:hAnsi="Arial" w:cs="Arial"/>
                    <w:color w:val="auto"/>
                  </w:rPr>
                </w:pPr>
                <w:r>
                  <w:rPr/>
                  <w:drawing>
                    <wp:inline distT="0" distB="0" distL="0" distR="0">
                      <wp:extent cx="1903095" cy="190309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903095" cy="1903095"/>
                              </a:xfrm>
                              <a:prstGeom prst="rect">
                                <a:avLst/>
                              </a:prstGeom>
                            </pic:spPr>
                          </pic:pic>
                        </a:graphicData>
                      </a:graphic>
                    </wp:inline>
                  </w:drawing>
                </w:r>
              </w:p>
            </w:sdtContent>
          </w:sdt>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
    </w:p>
    <w:sectPr>
      <w:headerReference w:type="default" r:id="rId6"/>
      <w:footerReference w:type="default" r:id="rId7"/>
      <w:type w:val="continuous"/>
      <w:pgSz w:w="11906" w:h="16838"/>
      <w:pgMar w:left="1134" w:right="1134" w:header="720" w:top="1134" w:footer="720" w:bottom="1134" w:gutter="0"/>
      <w:formProt w:val="tru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Arial">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2437971"/>
    </w:sdtPr>
    <w:sdtContent>
      <w:p>
        <w:pPr>
          <w:pStyle w:val="Pieddepage"/>
          <w:jc w:val="right"/>
          <w:rPr/>
        </w:pPr>
        <w:r>
          <w:rPr/>
          <w:fldChar w:fldCharType="begin"/>
        </w:r>
        <w:r>
          <w:rPr/>
          <w:instrText> PAGE </w:instrText>
        </w:r>
        <w:r>
          <w:rPr/>
          <w:fldChar w:fldCharType="separate"/>
        </w:r>
        <w:r>
          <w:rPr/>
          <w:t>1</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Annexe II</w:t>
    </w:r>
  </w:p>
  <w:p>
    <w:pPr>
      <w:pStyle w:val="Entte"/>
      <w:rPr>
        <w:sz w:val="20"/>
        <w:szCs w:val="20"/>
      </w:rPr>
    </w:pPr>
    <w:r>
      <w:rPr>
        <w:sz w:val="20"/>
        <w:szCs w:val="20"/>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Annotationreference">
    <w:name w:val="annotation reference"/>
    <w:basedOn w:val="DefaultParagraphFont"/>
    <w:uiPriority w:val="99"/>
    <w:semiHidden/>
    <w:unhideWhenUsed/>
    <w:qFormat/>
    <w:rsid w:val="00fb73ab"/>
    <w:rPr>
      <w:sz w:val="16"/>
      <w:szCs w:val="16"/>
    </w:rPr>
  </w:style>
  <w:style w:type="character" w:styleId="CommentaireCar" w:customStyle="1">
    <w:name w:val="Commentaire Car"/>
    <w:basedOn w:val="DefaultParagraphFont"/>
    <w:link w:val="Commentaire"/>
    <w:uiPriority w:val="99"/>
    <w:qFormat/>
    <w:rsid w:val="00fb73ab"/>
    <w:rPr>
      <w:sz w:val="20"/>
      <w:szCs w:val="18"/>
    </w:rPr>
  </w:style>
  <w:style w:type="character" w:styleId="ObjetducommentaireCar" w:customStyle="1">
    <w:name w:val="Objet du commentaire Car"/>
    <w:basedOn w:val="CommentaireCar"/>
    <w:link w:val="Objetducommentaire"/>
    <w:uiPriority w:val="99"/>
    <w:semiHidden/>
    <w:qFormat/>
    <w:rsid w:val="00fb73ab"/>
    <w:rPr>
      <w:b/>
      <w:bCs/>
      <w:sz w:val="20"/>
      <w:szCs w:val="18"/>
    </w:rPr>
  </w:style>
  <w:style w:type="character" w:styleId="TextedebullesCar" w:customStyle="1">
    <w:name w:val="Texte de bulles Car"/>
    <w:basedOn w:val="DefaultParagraphFont"/>
    <w:link w:val="Textedebulles"/>
    <w:uiPriority w:val="99"/>
    <w:semiHidden/>
    <w:qFormat/>
    <w:rsid w:val="00fb73ab"/>
    <w:rPr>
      <w:rFonts w:ascii="Segoe UI" w:hAnsi="Segoe UI"/>
      <w:sz w:val="18"/>
      <w:szCs w:val="16"/>
    </w:rPr>
  </w:style>
  <w:style w:type="character" w:styleId="NotedebasdepageCar" w:customStyle="1">
    <w:name w:val="Note de bas de page Car"/>
    <w:basedOn w:val="DefaultParagraphFont"/>
    <w:link w:val="Notedebasdepage"/>
    <w:uiPriority w:val="99"/>
    <w:semiHidden/>
    <w:qFormat/>
    <w:rsid w:val="00fb73ab"/>
    <w:rPr>
      <w:sz w:val="20"/>
      <w:szCs w:val="18"/>
    </w:rPr>
  </w:style>
  <w:style w:type="character" w:styleId="PieddepageCar" w:customStyle="1">
    <w:name w:val="Pied de page Car"/>
    <w:basedOn w:val="DefaultParagraphFont"/>
    <w:link w:val="Pieddepage"/>
    <w:uiPriority w:val="99"/>
    <w:qFormat/>
    <w:rsid w:val="003031aa"/>
    <w:rPr>
      <w:szCs w:val="21"/>
    </w:rPr>
  </w:style>
  <w:style w:type="character" w:styleId="LienInternet">
    <w:name w:val="Lien Internet"/>
    <w:basedOn w:val="DefaultParagraphFont"/>
    <w:uiPriority w:val="99"/>
    <w:semiHidden/>
    <w:unhideWhenUsed/>
    <w:rsid w:val="001768c4"/>
    <w:rPr>
      <w:color w:val="0000FF"/>
      <w:u w:val="single"/>
    </w:rPr>
  </w:style>
  <w:style w:type="character" w:styleId="EntteCar" w:customStyle="1">
    <w:name w:val="En-tête Car"/>
    <w:basedOn w:val="DefaultParagraphFont"/>
    <w:link w:val="En-tte"/>
    <w:uiPriority w:val="99"/>
    <w:qFormat/>
    <w:rsid w:val="00bd7ce7"/>
    <w:rPr/>
  </w:style>
  <w:style w:type="character" w:styleId="PlaceholderText">
    <w:name w:val="Placeholder Text"/>
    <w:basedOn w:val="DefaultParagraphFont"/>
    <w:uiPriority w:val="99"/>
    <w:semiHidden/>
    <w:qFormat/>
    <w:rsid w:val="007b3819"/>
    <w:rPr>
      <w:color w:val="808080"/>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link w:val="En-tteCar"/>
    <w:uiPriority w:val="99"/>
    <w:pPr>
      <w:suppressLineNumbers/>
      <w:tabs>
        <w:tab w:val="clear" w:pos="709"/>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Century Gothic" w:hAnsi="Century Gothic" w:eastAsia="Century Gothic" w:cs="Century Gothic"/>
      <w:color w:val="000000"/>
      <w:kern w:val="2"/>
      <w:sz w:val="24"/>
      <w:szCs w:val="24"/>
      <w:lang w:val="fr-FR" w:eastAsia="zh-CN" w:bidi="hi-IN"/>
    </w:rPr>
  </w:style>
  <w:style w:type="paragraph" w:styleId="Footnote" w:customStyle="1">
    <w:name w:val="Footnote"/>
    <w:basedOn w:val="Standard"/>
    <w:qFormat/>
    <w:pPr>
      <w:suppressLineNumbers/>
      <w:ind w:left="339" w:hanging="339"/>
    </w:pPr>
    <w:rPr>
      <w:sz w:val="20"/>
      <w:szCs w:val="20"/>
    </w:rPr>
  </w:style>
  <w:style w:type="paragraph" w:styleId="ListParagraph">
    <w:name w:val="List Paragraph"/>
    <w:basedOn w:val="Normal"/>
    <w:uiPriority w:val="34"/>
    <w:qFormat/>
    <w:rsid w:val="00457e4f"/>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Annotationtext">
    <w:name w:val="annotation text"/>
    <w:basedOn w:val="Normal"/>
    <w:link w:val="CommentaireCar"/>
    <w:uiPriority w:val="99"/>
    <w:unhideWhenUsed/>
    <w:qFormat/>
    <w:rsid w:val="00fb73ab"/>
    <w:pPr/>
    <w:rPr>
      <w:sz w:val="20"/>
      <w:szCs w:val="18"/>
    </w:rPr>
  </w:style>
  <w:style w:type="paragraph" w:styleId="Annotationsubject">
    <w:name w:val="annotation subject"/>
    <w:basedOn w:val="Annotationtext"/>
    <w:next w:val="Annotationtext"/>
    <w:link w:val="ObjetducommentaireCar"/>
    <w:uiPriority w:val="99"/>
    <w:semiHidden/>
    <w:unhideWhenUsed/>
    <w:qFormat/>
    <w:rsid w:val="00fb73ab"/>
    <w:pPr/>
    <w:rPr>
      <w:b/>
      <w:bCs/>
    </w:rPr>
  </w:style>
  <w:style w:type="paragraph" w:styleId="BalloonText">
    <w:name w:val="Balloon Text"/>
    <w:basedOn w:val="Normal"/>
    <w:link w:val="TextedebullesCar"/>
    <w:uiPriority w:val="99"/>
    <w:semiHidden/>
    <w:unhideWhenUsed/>
    <w:qFormat/>
    <w:rsid w:val="00fb73ab"/>
    <w:pPr/>
    <w:rPr>
      <w:rFonts w:ascii="Segoe UI" w:hAnsi="Segoe UI"/>
      <w:sz w:val="18"/>
      <w:szCs w:val="16"/>
    </w:rPr>
  </w:style>
  <w:style w:type="paragraph" w:styleId="Notedebasdepage">
    <w:name w:val="Footnote Text"/>
    <w:basedOn w:val="Normal"/>
    <w:link w:val="NotedebasdepageCar"/>
    <w:uiPriority w:val="99"/>
    <w:semiHidden/>
    <w:unhideWhenUsed/>
    <w:rsid w:val="00fb73ab"/>
    <w:pPr/>
    <w:rPr>
      <w:sz w:val="20"/>
      <w:szCs w:val="18"/>
    </w:rPr>
  </w:style>
  <w:style w:type="paragraph" w:styleId="Revision">
    <w:name w:val="Revision"/>
    <w:uiPriority w:val="99"/>
    <w:semiHidden/>
    <w:qFormat/>
    <w:rsid w:val="00e111e8"/>
    <w:pPr>
      <w:widowControl/>
      <w:suppressAutoHyphens w:val="false"/>
      <w:bidi w:val="0"/>
      <w:spacing w:before="0" w:after="0"/>
      <w:jc w:val="left"/>
      <w:textAlignment w:val="auto"/>
    </w:pPr>
    <w:rPr>
      <w:rFonts w:ascii="Liberation Serif" w:hAnsi="Liberation Serif" w:eastAsia="SimSun" w:cs="Mangal"/>
      <w:color w:val="auto"/>
      <w:kern w:val="2"/>
      <w:sz w:val="24"/>
      <w:szCs w:val="21"/>
      <w:lang w:val="fr-FR" w:eastAsia="zh-CN" w:bidi="hi-IN"/>
    </w:rPr>
  </w:style>
  <w:style w:type="paragraph" w:styleId="Pieddepage">
    <w:name w:val="Footer"/>
    <w:basedOn w:val="Normal"/>
    <w:link w:val="PieddepageCar"/>
    <w:uiPriority w:val="99"/>
    <w:unhideWhenUsed/>
    <w:rsid w:val="003031aa"/>
    <w:pPr>
      <w:tabs>
        <w:tab w:val="clear" w:pos="709"/>
        <w:tab w:val="center" w:pos="4536" w:leader="none"/>
        <w:tab w:val="right" w:pos="9072" w:leader="none"/>
      </w:tabs>
    </w:pPr>
    <w:rPr>
      <w:szCs w:val="21"/>
    </w:rPr>
  </w:style>
  <w:style w:type="paragraph" w:styleId="NormalWeb">
    <w:name w:val="Normal (Web)"/>
    <w:basedOn w:val="Normal"/>
    <w:uiPriority w:val="99"/>
    <w:semiHidden/>
    <w:unhideWhenUsed/>
    <w:qFormat/>
    <w:rsid w:val="00001449"/>
    <w:pPr/>
    <w:rPr>
      <w:rFonts w:ascii="Times New Roman" w:hAnsi="Times New Roman"/>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a29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egifrance.gouv.fr/affichCodeArticle.do?cidTexte=LEGITEXT000006074236&amp;idArticle=LEGIARTI000006845858&amp;dateTexte=&amp;categorieLien=cid" TargetMode="External"/><Relationship Id="rId4" Type="http://schemas.openxmlformats.org/officeDocument/2006/relationships/hyperlink" Target="https://www.legifrance.gouv.fr/affichCodeArticle.do?cidTexte=LEGITEXT000006074236&amp;idArticle=LEGIARTI000006845858&amp;dateTexte=&amp;categorieLien=cid" TargetMode="Externa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2877404-2A21-42B9-B925-139B35BEB628}"/>
      </w:docPartPr>
      <w:docPartBody>
        <w:p w:rsidR="001C6223" w:rsidRDefault="001C6223">
          <w:r w:rsidRPr="004B17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23"/>
    <w:rsid w:val="001C6223"/>
    <w:rsid w:val="00626DA9"/>
    <w:rsid w:val="006F2E41"/>
    <w:rsid w:val="00A02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62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3.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9C049-966A-4685-AB5F-A1B19228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11</Pages>
  <Words>3394</Words>
  <Characters>17276</Characters>
  <CharactersWithSpaces>20345</CharactersWithSpaces>
  <Paragraphs>446</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2023-01-12T19:16:28Z</dcterms:created>
  <dc:creator/>
  <dc:description/>
  <dc:language>fr-FR</dc:language>
  <cp:lastModifiedBy/>
  <cp:revision>1</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