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008080"/>
        <w:spacing w:lineRule="auto" w:line="252" w:before="238" w:after="238"/>
        <w:jc w:val="center"/>
        <w:rPr>
          <w:rFonts w:ascii="Arial" w:hAnsi="Arial" w:cs="Arial"/>
          <w:sz w:val="20"/>
        </w:rPr>
      </w:pPr>
      <w:r>
        <w:rPr>
          <w:rFonts w:eastAsia="Times New Roman" w:cs="Arial" w:ascii="Arial" w:hAnsi="Arial"/>
          <w:b/>
          <w:bCs/>
          <w:caps/>
          <w:color w:val="FFFFFF"/>
          <w:sz w:val="20"/>
          <w:lang w:eastAsia="fr-FR"/>
        </w:rPr>
        <w:t>Déclaration d’absence de conflit d’intérêt dans la commande publique</w:t>
      </w:r>
    </w:p>
    <w:tbl>
      <w:tblPr>
        <w:tblW w:w="9067"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3538"/>
        <w:gridCol w:w="5528"/>
      </w:tblGrid>
      <w:tr>
        <w:trPr>
          <w:trHeight w:val="203" w:hRule="atLeast"/>
        </w:trPr>
        <w:tc>
          <w:tcPr>
            <w:tcW w:w="3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2" w:before="100" w:after="159"/>
              <w:rPr>
                <w:rFonts w:ascii="Arial" w:hAnsi="Arial" w:eastAsia="Times New Roman" w:cs="Arial"/>
                <w:sz w:val="20"/>
                <w:lang w:eastAsia="fr-FR"/>
              </w:rPr>
            </w:pPr>
            <w:r>
              <w:rPr>
                <w:rFonts w:eastAsia="Times New Roman" w:cs="Arial" w:ascii="Arial" w:hAnsi="Arial"/>
                <w:sz w:val="20"/>
                <w:lang w:eastAsia="fr-FR"/>
              </w:rPr>
              <w:t>Je, soussigné(e)</w:t>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andard"/>
              <w:spacing w:lineRule="auto" w:line="252" w:before="100" w:after="159"/>
              <w:rPr>
                <w:rFonts w:ascii="Arial" w:hAnsi="Arial" w:cs="Arial"/>
                <w:sz w:val="20"/>
                <w:szCs w:val="22"/>
              </w:rPr>
            </w:pPr>
            <w:r>
              <w:rPr>
                <w:rFonts w:cs="Arial" w:ascii="Arial" w:hAnsi="Arial"/>
                <w:sz w:val="20"/>
                <w:szCs w:val="22"/>
              </w:rPr>
            </w:r>
          </w:p>
        </w:tc>
      </w:tr>
      <w:tr>
        <w:trPr/>
        <w:tc>
          <w:tcPr>
            <w:tcW w:w="3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2" w:before="100" w:after="159"/>
              <w:rPr>
                <w:rFonts w:ascii="Arial" w:hAnsi="Arial" w:eastAsia="Times New Roman" w:cs="Arial"/>
                <w:sz w:val="20"/>
                <w:lang w:eastAsia="fr-FR"/>
              </w:rPr>
            </w:pPr>
            <w:r>
              <w:rPr>
                <w:rFonts w:eastAsia="Times New Roman" w:cs="Arial" w:ascii="Arial" w:hAnsi="Arial"/>
                <w:sz w:val="20"/>
                <w:lang w:eastAsia="fr-FR"/>
              </w:rPr>
              <w:t>Agissant en qualité de</w:t>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2" w:before="100" w:after="159"/>
              <w:rPr>
                <w:rFonts w:ascii="Arial" w:hAnsi="Arial" w:cs="Arial"/>
                <w:sz w:val="20"/>
              </w:rPr>
            </w:pPr>
            <w:r>
              <w:rPr>
                <w:rFonts w:cs="Arial" w:ascii="Arial" w:hAnsi="Arial"/>
                <w:sz w:val="20"/>
              </w:rPr>
              <w:t xml:space="preserve"> </w:t>
            </w:r>
          </w:p>
        </w:tc>
      </w:tr>
      <w:tr>
        <w:trPr/>
        <w:tc>
          <w:tcPr>
            <w:tcW w:w="3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2" w:before="100" w:after="159"/>
              <w:rPr>
                <w:rFonts w:ascii="Arial" w:hAnsi="Arial" w:eastAsia="Times New Roman" w:cs="Arial"/>
                <w:sz w:val="20"/>
                <w:lang w:eastAsia="fr-FR"/>
              </w:rPr>
            </w:pPr>
            <w:r>
              <w:rPr>
                <w:rFonts w:eastAsia="Times New Roman" w:cs="Arial" w:ascii="Arial" w:hAnsi="Arial"/>
                <w:sz w:val="20"/>
                <w:lang w:eastAsia="fr-FR"/>
              </w:rPr>
              <w:t>Responsable légal de</w:t>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2" w:before="100" w:after="159"/>
              <w:rPr>
                <w:rFonts w:ascii="Arial" w:hAnsi="Arial" w:cs="Arial"/>
                <w:sz w:val="20"/>
              </w:rPr>
            </w:pPr>
            <w:r>
              <w:rPr>
                <w:rFonts w:cs="Arial" w:ascii="Arial" w:hAnsi="Arial"/>
                <w:sz w:val="20"/>
              </w:rPr>
              <w:t xml:space="preserve"> </w:t>
            </w:r>
          </w:p>
        </w:tc>
      </w:tr>
      <w:tr>
        <w:trPr/>
        <w:tc>
          <w:tcPr>
            <w:tcW w:w="3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2" w:before="100" w:after="159"/>
              <w:rPr>
                <w:rFonts w:ascii="Arial" w:hAnsi="Arial" w:eastAsia="Times New Roman" w:cs="Arial"/>
                <w:sz w:val="20"/>
                <w:lang w:eastAsia="fr-FR"/>
              </w:rPr>
            </w:pPr>
            <w:r>
              <w:rPr>
                <w:rFonts w:eastAsia="Times New Roman" w:cs="Arial" w:ascii="Arial" w:hAnsi="Arial"/>
                <w:sz w:val="20"/>
                <w:lang w:eastAsia="fr-FR"/>
              </w:rPr>
              <w:t>La passation du marché ayant pour objet</w:t>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2" w:before="100" w:after="159"/>
              <w:rPr>
                <w:rFonts w:ascii="Arial" w:hAnsi="Arial" w:cs="Arial"/>
                <w:sz w:val="20"/>
              </w:rPr>
            </w:pPr>
            <w:r>
              <w:rPr>
                <w:rFonts w:cs="Arial" w:ascii="Arial" w:hAnsi="Arial"/>
                <w:sz w:val="20"/>
              </w:rPr>
              <w:t xml:space="preserve"> </w:t>
            </w:r>
          </w:p>
        </w:tc>
      </w:tr>
    </w:tbl>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r>
    </w:p>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t>Ayant présidé ou participé à la passation, l'élaboration, le suivi du marché public susmentionné, notamment à l'analyse des offres ou à la commission d'ouverture des candidatures ou à la commission d'analyse des offres ou à la commission d'attribution du marché public susmentionné, déclare avoir pris connaissance de l’article 57 du règlement financier n° 966/2012, relatif aux règles financières applicables au budget général de l'Union Européenne, qui dispose que :</w:t>
      </w:r>
    </w:p>
    <w:p>
      <w:pPr>
        <w:pStyle w:val="Normal"/>
        <w:spacing w:lineRule="auto" w:line="252" w:before="0" w:after="159"/>
        <w:jc w:val="both"/>
        <w:rPr>
          <w:rFonts w:ascii="Arial" w:hAnsi="Arial" w:cs="Arial"/>
          <w:sz w:val="20"/>
        </w:rPr>
      </w:pPr>
      <w:r>
        <w:rPr>
          <w:rFonts w:eastAsia="Times New Roman" w:cs="Arial" w:ascii="Arial" w:hAnsi="Arial"/>
          <w:i/>
          <w:iCs/>
          <w:sz w:val="20"/>
          <w:lang w:eastAsia="fr-FR"/>
        </w:rPr>
        <w:t>«1. Les acteurs financiers et les autres personnes participant à l’exécution et à la gestion du budget, y compris aux actes préparatoires à celui-ci, ainsi qu’à l’audit ou au contrôle, ne prennent aucune mesure à l’occasion de laquelle leurs propres intérêts pourraient être en conflit avec ceux de l’Union.</w:t>
      </w:r>
    </w:p>
    <w:p>
      <w:pPr>
        <w:pStyle w:val="Normal"/>
        <w:spacing w:lineRule="auto" w:line="252" w:before="0" w:after="159"/>
        <w:jc w:val="both"/>
        <w:rPr>
          <w:rFonts w:ascii="Arial" w:hAnsi="Arial" w:cs="Arial"/>
          <w:sz w:val="20"/>
        </w:rPr>
      </w:pPr>
      <w:r>
        <w:rPr>
          <w:rFonts w:eastAsia="Times New Roman" w:cs="Arial" w:ascii="Arial" w:hAnsi="Arial"/>
          <w:i/>
          <w:iCs/>
          <w:sz w:val="20"/>
          <w:lang w:eastAsia="fr-FR"/>
        </w:rPr>
        <w:t>Si un tel risque existe, la personne en question a l’obligation de s’abstenir et d’en référer à l’ordonnateur délégué, qui confirme par écrit l’existence éventuelle d’un conflit d’intérêts.</w:t>
      </w:r>
    </w:p>
    <w:p>
      <w:pPr>
        <w:pStyle w:val="Normal"/>
        <w:spacing w:lineRule="auto" w:line="252" w:before="0" w:after="159"/>
        <w:jc w:val="both"/>
        <w:rPr>
          <w:rFonts w:ascii="Arial" w:hAnsi="Arial" w:cs="Arial"/>
          <w:sz w:val="20"/>
        </w:rPr>
      </w:pPr>
      <w:r>
        <w:rPr>
          <w:rFonts w:eastAsia="Times New Roman" w:cs="Arial" w:ascii="Arial" w:hAnsi="Arial"/>
          <w:i/>
          <w:iCs/>
          <w:sz w:val="20"/>
          <w:lang w:eastAsia="fr-FR"/>
        </w:rPr>
        <w:t>La personne en question informe également son supérieur hiérarchique. Lorsque l’existence d’un conflit d’intérêts a été établie, la personne en question cesse toutes ses activités en rapport avec le dossier concerné. L’ordonnateur délégué prend lui-même toute mesure supplémentaire appropriée.</w:t>
      </w:r>
    </w:p>
    <w:p>
      <w:pPr>
        <w:pStyle w:val="Normal"/>
        <w:spacing w:lineRule="auto" w:line="252" w:before="0" w:after="159"/>
        <w:jc w:val="both"/>
        <w:rPr>
          <w:rFonts w:ascii="Arial" w:hAnsi="Arial" w:cs="Arial"/>
          <w:sz w:val="20"/>
        </w:rPr>
      </w:pPr>
      <w:r>
        <w:rPr>
          <w:rFonts w:eastAsia="Times New Roman" w:cs="Arial" w:ascii="Arial" w:hAnsi="Arial"/>
          <w:i/>
          <w:iCs/>
          <w:sz w:val="20"/>
          <w:lang w:eastAsia="fr-FR"/>
        </w:rPr>
        <w:t>2. Aux fins du paragraphe 1, il y a conflit d’intérêts lorsque l’exercice impartial et objectif des fonctions d’un acteur financier ou d’une autre personne, visés au paragraphe 1, est compromis pour des motifs familiaux, affectifs, d’affinité politique ou nationale, d’intérêt économique ou pour tout autre motif de communauté d’intérêt avec le bénéficiaire.»</w:t>
      </w:r>
    </w:p>
    <w:p>
      <w:pPr>
        <w:pStyle w:val="Normal"/>
        <w:spacing w:lineRule="auto" w:line="252" w:before="0" w:after="159"/>
        <w:jc w:val="both"/>
        <w:rPr>
          <w:rFonts w:ascii="Arial" w:hAnsi="Arial" w:cs="Arial"/>
          <w:sz w:val="20"/>
        </w:rPr>
      </w:pPr>
      <w:r>
        <w:rPr>
          <w:rFonts w:eastAsia="Times New Roman" w:cs="Arial" w:ascii="Arial" w:hAnsi="Arial"/>
          <w:sz w:val="20"/>
          <w:lang w:eastAsia="fr-FR"/>
        </w:rPr>
        <w:t>Je déclare également avoir pris connaissance des articles 432-12 et 432-13 du code de pénal.</w:t>
      </w:r>
    </w:p>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t>Par la présente, je déclare ne pas être, en connaissance de situations de conflit d’intérêts avec les opérateurs qui ont posé candidature pour participer à la présente procédure de passation de marché public ou soumis une offre dans le cadre de la présente procédure de passation de marchés, que ce soit à titre individuel ou en tant que membre d’un groupement, ni avec les sous-traitants proposés.</w:t>
      </w:r>
    </w:p>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t>À ma connaissance, il n’existe aucun fait ou élément, passé, actuel ou susceptible d’apparaître dans un avenir prévisible, qui pourrait remettre en question l'indépendance d’une de ces parties dans le cadre de la passation de ce marché.</w:t>
      </w:r>
    </w:p>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t>Je confirme que si, au cours de la procédure de sélection / de la procédure d’évaluation [d’ouverture] / de l’exécution ou de la modification du contrat, je découvre l’existence ou l’apparition d’un tel conflit, je ferai cesser sans délai le marché susmentionné et procéderai aux modifications adéquates afin de restaurer l'indépendance attendue entre les différente</w:t>
      </w:r>
      <w:bookmarkStart w:id="0" w:name="_GoBack"/>
      <w:bookmarkEnd w:id="0"/>
      <w:r>
        <w:rPr>
          <w:rFonts w:eastAsia="Times New Roman" w:cs="Arial" w:ascii="Arial" w:hAnsi="Arial"/>
          <w:sz w:val="20"/>
          <w:lang w:eastAsia="fr-FR"/>
        </w:rPr>
        <w:t>s parties.</w:t>
      </w:r>
    </w:p>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r>
    </w:p>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r>
    </w:p>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r>
    </w:p>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r>
    </w:p>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r>
    </w:p>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r>
    </w:p>
    <w:p>
      <w:pPr>
        <w:pStyle w:val="Normal"/>
        <w:pBdr>
          <w:top w:val="single" w:sz="4" w:space="1" w:color="000000"/>
          <w:left w:val="single" w:sz="4" w:space="4" w:color="000000"/>
          <w:bottom w:val="single" w:sz="4" w:space="1" w:color="000000"/>
          <w:right w:val="single" w:sz="4" w:space="4" w:color="000000"/>
        </w:pBdr>
        <w:spacing w:lineRule="auto" w:line="252" w:before="100" w:after="159"/>
        <w:jc w:val="both"/>
        <w:rPr>
          <w:rFonts w:ascii="Arial" w:hAnsi="Arial" w:eastAsia="Times New Roman" w:cs="Arial"/>
          <w:sz w:val="20"/>
          <w:u w:val="single"/>
          <w:lang w:eastAsia="fr-FR"/>
        </w:rPr>
      </w:pPr>
      <w:r>
        <w:rPr>
          <w:rFonts w:eastAsia="Times New Roman" w:cs="Arial" w:ascii="Arial" w:hAnsi="Arial"/>
          <w:i/>
          <w:sz w:val="20"/>
          <w:lang w:eastAsia="fr-FR"/>
        </w:rPr>
        <w:t>Encart à compléter uniquement, si des mesures ont été prises afin d’assurer l’absence de conflit d’intérêt, ex : personne n’assistant pas à la CAO car connaissant un prestataire etc…</w:t>
      </w:r>
    </w:p>
    <w:p>
      <w:pPr>
        <w:pStyle w:val="Normal"/>
        <w:pBdr>
          <w:top w:val="single" w:sz="4" w:space="1" w:color="000000"/>
          <w:left w:val="single" w:sz="4" w:space="4" w:color="000000"/>
          <w:bottom w:val="single" w:sz="4" w:space="1" w:color="000000"/>
          <w:right w:val="single" w:sz="4" w:space="4" w:color="000000"/>
        </w:pBdr>
        <w:spacing w:lineRule="auto" w:line="252" w:before="100" w:after="159"/>
        <w:jc w:val="both"/>
        <w:rPr>
          <w:rFonts w:ascii="Arial" w:hAnsi="Arial" w:cs="Arial"/>
          <w:sz w:val="20"/>
        </w:rPr>
      </w:pPr>
      <w:r>
        <w:rPr>
          <w:rFonts w:eastAsia="Times New Roman" w:cs="Arial" w:ascii="Arial" w:hAnsi="Arial"/>
          <w:sz w:val="20"/>
          <w:u w:val="single"/>
          <w:lang w:eastAsia="fr-FR"/>
        </w:rPr>
        <w:t>Engagement :</w:t>
      </w:r>
      <w:r>
        <w:rPr>
          <w:rFonts w:eastAsia="Times New Roman" w:cs="Arial" w:ascii="Arial" w:hAnsi="Arial"/>
          <w:sz w:val="20"/>
          <w:lang w:eastAsia="fr-FR"/>
        </w:rPr>
        <w:t xml:space="preserve"> Comment avez-vous assuré l'absence de conflits d'intérêts dans la passation de ce marché public ? Par quelles mesures ? </w:t>
      </w:r>
    </w:p>
    <w:p>
      <w:pPr>
        <w:pStyle w:val="Normal"/>
        <w:pBdr>
          <w:top w:val="single" w:sz="4" w:space="1" w:color="000000"/>
          <w:left w:val="single" w:sz="4" w:space="4" w:color="000000"/>
          <w:bottom w:val="single" w:sz="4" w:space="1" w:color="000000"/>
          <w:right w:val="single" w:sz="4" w:space="4" w:color="000000"/>
        </w:pBdr>
        <w:spacing w:lineRule="auto" w:line="252" w:before="100" w:after="159"/>
        <w:jc w:val="both"/>
        <w:rPr>
          <w:rFonts w:ascii="Arial" w:hAnsi="Arial" w:cs="Arial"/>
          <w:sz w:val="20"/>
        </w:rPr>
      </w:pPr>
      <w:r>
        <w:rPr>
          <w:rFonts w:cs="Arial" w:ascii="Arial" w:hAnsi="Arial"/>
          <w:sz w:val="20"/>
        </w:rPr>
      </w:r>
    </w:p>
    <w:p>
      <w:pPr>
        <w:pStyle w:val="Normal"/>
        <w:pBdr>
          <w:top w:val="single" w:sz="4" w:space="1" w:color="000000"/>
          <w:left w:val="single" w:sz="4" w:space="4" w:color="000000"/>
          <w:bottom w:val="single" w:sz="4" w:space="1" w:color="000000"/>
          <w:right w:val="single" w:sz="4" w:space="4" w:color="000000"/>
        </w:pBdr>
        <w:spacing w:lineRule="auto" w:line="252" w:before="100" w:after="159"/>
        <w:jc w:val="both"/>
        <w:rPr>
          <w:rFonts w:ascii="Arial" w:hAnsi="Arial" w:cs="Arial"/>
          <w:sz w:val="20"/>
        </w:rPr>
      </w:pPr>
      <w:r>
        <w:rPr>
          <w:rFonts w:cs="Arial" w:ascii="Arial" w:hAnsi="Arial"/>
          <w:sz w:val="20"/>
        </w:rPr>
      </w:r>
    </w:p>
    <w:p>
      <w:pPr>
        <w:pStyle w:val="Normal"/>
        <w:pBdr>
          <w:top w:val="single" w:sz="4" w:space="1" w:color="000000"/>
          <w:left w:val="single" w:sz="4" w:space="4" w:color="000000"/>
          <w:bottom w:val="single" w:sz="4" w:space="1" w:color="000000"/>
          <w:right w:val="single" w:sz="4" w:space="4" w:color="000000"/>
        </w:pBdr>
        <w:spacing w:lineRule="auto" w:line="252" w:before="100" w:after="159"/>
        <w:jc w:val="both"/>
        <w:rPr>
          <w:rFonts w:ascii="Arial" w:hAnsi="Arial" w:cs="Arial"/>
          <w:sz w:val="20"/>
        </w:rPr>
      </w:pPr>
      <w:r>
        <w:rPr>
          <w:rFonts w:cs="Arial" w:ascii="Arial" w:hAnsi="Arial"/>
          <w:sz w:val="20"/>
        </w:rPr>
      </w:r>
    </w:p>
    <w:p>
      <w:pPr>
        <w:pStyle w:val="Normal"/>
        <w:pBdr>
          <w:top w:val="single" w:sz="4" w:space="1" w:color="000000"/>
          <w:left w:val="single" w:sz="4" w:space="4" w:color="000000"/>
          <w:bottom w:val="single" w:sz="4" w:space="1" w:color="000000"/>
          <w:right w:val="single" w:sz="4" w:space="4" w:color="000000"/>
        </w:pBdr>
        <w:spacing w:lineRule="auto" w:line="252" w:before="100" w:after="159"/>
        <w:jc w:val="both"/>
        <w:rPr>
          <w:rFonts w:ascii="Arial" w:hAnsi="Arial" w:cs="Arial"/>
          <w:sz w:val="20"/>
        </w:rPr>
      </w:pPr>
      <w:r>
        <w:rPr>
          <w:rFonts w:cs="Arial" w:ascii="Arial" w:hAnsi="Arial"/>
          <w:sz w:val="20"/>
        </w:rPr>
      </w:r>
    </w:p>
    <w:p>
      <w:pPr>
        <w:pStyle w:val="Normal"/>
        <w:pBdr>
          <w:top w:val="single" w:sz="4" w:space="1" w:color="000000"/>
          <w:left w:val="single" w:sz="4" w:space="4" w:color="000000"/>
          <w:bottom w:val="single" w:sz="4" w:space="1" w:color="000000"/>
          <w:right w:val="single" w:sz="4" w:space="4" w:color="000000"/>
        </w:pBdr>
        <w:spacing w:lineRule="auto" w:line="252" w:before="100" w:after="159"/>
        <w:jc w:val="both"/>
        <w:rPr>
          <w:rFonts w:ascii="Arial" w:hAnsi="Arial" w:cs="Arial"/>
          <w:sz w:val="20"/>
        </w:rPr>
      </w:pPr>
      <w:r>
        <w:rPr>
          <w:rFonts w:cs="Arial" w:ascii="Arial" w:hAnsi="Arial"/>
          <w:sz w:val="20"/>
        </w:rPr>
      </w:r>
    </w:p>
    <w:p>
      <w:pPr>
        <w:pStyle w:val="Normal"/>
        <w:pBdr>
          <w:top w:val="single" w:sz="4" w:space="1" w:color="000000"/>
          <w:left w:val="single" w:sz="4" w:space="4" w:color="000000"/>
          <w:bottom w:val="single" w:sz="4" w:space="1" w:color="000000"/>
          <w:right w:val="single" w:sz="4" w:space="4" w:color="000000"/>
        </w:pBdr>
        <w:spacing w:lineRule="auto" w:line="252" w:before="100" w:after="159"/>
        <w:jc w:val="both"/>
        <w:rPr>
          <w:rFonts w:ascii="Arial" w:hAnsi="Arial" w:cs="Arial"/>
          <w:sz w:val="20"/>
        </w:rPr>
      </w:pPr>
      <w:r>
        <w:rPr>
          <w:rFonts w:cs="Arial" w:ascii="Arial" w:hAnsi="Arial"/>
          <w:sz w:val="20"/>
        </w:rPr>
      </w:r>
    </w:p>
    <w:p>
      <w:pPr>
        <w:pStyle w:val="Normal"/>
        <w:pBdr>
          <w:top w:val="single" w:sz="4" w:space="1" w:color="000000"/>
          <w:left w:val="single" w:sz="4" w:space="4" w:color="000000"/>
          <w:bottom w:val="single" w:sz="4" w:space="1" w:color="000000"/>
          <w:right w:val="single" w:sz="4" w:space="4" w:color="000000"/>
        </w:pBdr>
        <w:spacing w:lineRule="auto" w:line="252" w:before="100" w:after="159"/>
        <w:jc w:val="both"/>
        <w:rPr>
          <w:rFonts w:ascii="Arial" w:hAnsi="Arial" w:cs="Arial"/>
          <w:sz w:val="20"/>
        </w:rPr>
      </w:pPr>
      <w:r>
        <w:rPr>
          <w:rFonts w:cs="Arial" w:ascii="Arial" w:hAnsi="Arial"/>
          <w:sz w:val="20"/>
        </w:rPr>
      </w:r>
    </w:p>
    <w:tbl>
      <w:tblPr>
        <w:tblW w:w="9356" w:type="dxa"/>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4876"/>
        <w:gridCol w:w="4479"/>
      </w:tblGrid>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itreformulaire"/>
              <w:spacing w:before="120" w:after="120"/>
              <w:rPr>
                <w:rFonts w:ascii="Arial" w:hAnsi="Arial" w:cs="Arial"/>
                <w:szCs w:val="22"/>
              </w:rPr>
            </w:pPr>
            <w:r>
              <w:rPr>
                <w:rFonts w:cs="Arial" w:ascii="Arial" w:hAnsi="Arial"/>
                <w:b w:val="false"/>
                <w:color w:val="auto"/>
                <w:szCs w:val="22"/>
              </w:rPr>
              <w:t>Fait à :</w:t>
            </w:r>
          </w:p>
        </w:tc>
        <w:tc>
          <w:tcPr>
            <w:tcW w:w="4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itreformulaire"/>
              <w:spacing w:before="120" w:after="120"/>
              <w:rPr>
                <w:rFonts w:ascii="Arial" w:hAnsi="Arial" w:cs="Arial"/>
                <w:szCs w:val="22"/>
              </w:rPr>
            </w:pPr>
            <w:r>
              <w:rPr>
                <w:rFonts w:cs="Arial" w:ascii="Arial" w:hAnsi="Arial"/>
                <w:b w:val="false"/>
                <w:color w:val="auto"/>
                <w:szCs w:val="22"/>
              </w:rPr>
              <w:t>le :</w:t>
            </w:r>
          </w:p>
        </w:tc>
      </w:tr>
      <w:tr>
        <w:trPr>
          <w:trHeight w:val="1559" w:hRule="atLeast"/>
        </w:trPr>
        <w:tc>
          <w:tcPr>
            <w:tcW w:w="93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120" w:after="0"/>
              <w:jc w:val="both"/>
              <w:rPr>
                <w:rFonts w:ascii="Arial" w:hAnsi="Arial" w:cs="Arial"/>
                <w:sz w:val="20"/>
                <w:szCs w:val="22"/>
              </w:rPr>
            </w:pPr>
            <w:r>
              <w:rPr>
                <w:rFonts w:cs="Arial" w:ascii="Arial" w:hAnsi="Arial"/>
                <w:sz w:val="20"/>
                <w:szCs w:val="22"/>
              </w:rPr>
              <w:t>NOM, Prénom, qualité et signature du représentant légal de la structure :</w:t>
            </w:r>
          </w:p>
          <w:p>
            <w:pPr>
              <w:pStyle w:val="NormalWeb"/>
              <w:spacing w:before="120" w:after="0"/>
              <w:jc w:val="both"/>
              <w:rPr>
                <w:rFonts w:ascii="Arial" w:hAnsi="Arial" w:cs="Arial"/>
                <w:sz w:val="20"/>
                <w:szCs w:val="22"/>
              </w:rPr>
            </w:pPr>
            <w:r>
              <w:rPr>
                <w:rFonts w:cs="Arial" w:ascii="Arial" w:hAnsi="Arial"/>
                <w:sz w:val="20"/>
                <w:szCs w:val="22"/>
              </w:rPr>
              <w:t xml:space="preserve">                                                                                                                                                                                                                                                 </w:t>
            </w:r>
          </w:p>
          <w:p>
            <w:pPr>
              <w:pStyle w:val="Titreformulaire"/>
              <w:spacing w:lineRule="auto" w:line="480" w:before="120" w:after="120"/>
              <w:rPr>
                <w:rFonts w:ascii="Arial" w:hAnsi="Arial" w:cs="Arial"/>
                <w:b w:val="false"/>
                <w:b w:val="false"/>
                <w:color w:val="auto"/>
                <w:szCs w:val="22"/>
              </w:rPr>
            </w:pPr>
            <w:r>
              <w:rPr>
                <w:rFonts w:cs="Arial" w:ascii="Arial" w:hAnsi="Arial"/>
                <w:b w:val="false"/>
                <w:color w:val="auto"/>
                <w:szCs w:val="22"/>
              </w:rPr>
            </w:r>
          </w:p>
        </w:tc>
      </w:tr>
    </w:tbl>
    <w:p>
      <w:pPr>
        <w:pStyle w:val="Normal"/>
        <w:spacing w:before="0" w:after="200"/>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swiss"/>
    <w:pitch w:val="variable"/>
  </w:font>
  <w:font w:name="Tahom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pPr>
    <w:r>
      <w:rPr>
        <w:caps/>
        <w:sz w:val="16"/>
        <w:szCs w:val="16"/>
      </w:rPr>
      <w:t xml:space="preserve">Formulaire Commande PUBLIQUE </w:t>
      <w:tab/>
      <w:tab/>
    </w:r>
    <w:r>
      <w:rPr>
        <w:caps/>
        <w:sz w:val="16"/>
        <w:szCs w:val="16"/>
      </w:rPr>
      <w:fldChar w:fldCharType="begin"/>
    </w:r>
    <w:r>
      <w:rPr>
        <w:caps/>
        <w:sz w:val="16"/>
        <w:szCs w:val="16"/>
      </w:rPr>
      <w:instrText> PAGE </w:instrText>
    </w:r>
    <w:r>
      <w:rPr>
        <w:caps/>
        <w:sz w:val="16"/>
        <w:szCs w:val="16"/>
      </w:rPr>
      <w:fldChar w:fldCharType="separate"/>
    </w:r>
    <w:r>
      <w:rPr>
        <w:caps/>
        <w:sz w:val="16"/>
        <w:szCs w:val="16"/>
      </w:rPr>
      <w:t>2</w:t>
    </w:r>
    <w:r>
      <w:rPr>
        <w:caps/>
        <w:sz w:val="16"/>
        <w:szCs w:val="16"/>
      </w:rPr>
      <w:fldChar w:fldCharType="end"/>
    </w:r>
  </w:p>
</w:ft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414cc"/>
    <w:pPr>
      <w:widowControl/>
      <w:suppressAutoHyphens w:val="true"/>
      <w:bidi w:val="0"/>
      <w:spacing w:lineRule="auto" w:line="276" w:before="0" w:after="200"/>
      <w:jc w:val="left"/>
      <w:textAlignment w:val="baseline"/>
    </w:pPr>
    <w:rPr>
      <w:rFonts w:ascii="Calibri" w:hAnsi="Calibri" w:eastAsia="Calibri" w:cs="Times New Roman" w:asciiTheme="minorHAnsi" w:eastAsiaTheme="minorHAnsi" w:hAnsiTheme="minorHAnsi"/>
      <w:color w:val="auto"/>
      <w:kern w:val="0"/>
      <w:sz w:val="22"/>
      <w:szCs w:val="22"/>
      <w:lang w:val="fr-FR" w:eastAsia="en-US" w:bidi="ar-SA"/>
    </w:rPr>
  </w:style>
  <w:style w:type="paragraph" w:styleId="Titre7">
    <w:name w:val="Heading 7"/>
    <w:basedOn w:val="Normal"/>
    <w:next w:val="Normal"/>
    <w:link w:val="Titre7Car"/>
    <w:uiPriority w:val="9"/>
    <w:semiHidden/>
    <w:unhideWhenUsed/>
    <w:qFormat/>
    <w:rsid w:val="00d414cc"/>
    <w:pPr>
      <w:keepNext w:val="true"/>
      <w:keepLines/>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character" w:styleId="DefaultParagraphFont" w:default="1">
    <w:name w:val="Default Paragraph Font"/>
    <w:uiPriority w:val="1"/>
    <w:semiHidden/>
    <w:unhideWhenUsed/>
    <w:qFormat/>
    <w:rPr/>
  </w:style>
  <w:style w:type="character" w:styleId="Titre7Car" w:customStyle="1">
    <w:name w:val="Titre 7 Car"/>
    <w:basedOn w:val="DefaultParagraphFont"/>
    <w:link w:val="Titre7"/>
    <w:uiPriority w:val="9"/>
    <w:semiHidden/>
    <w:qFormat/>
    <w:rsid w:val="00d414cc"/>
    <w:rPr>
      <w:rFonts w:ascii="Calibri Light" w:hAnsi="Calibri Light" w:eastAsia="" w:cs="" w:asciiTheme="majorHAnsi" w:cstheme="majorBidi" w:eastAsiaTheme="majorEastAsia" w:hAnsiTheme="majorHAnsi"/>
      <w:i/>
      <w:iCs/>
      <w:color w:val="1F3763" w:themeColor="accent1" w:themeShade="7f"/>
    </w:rPr>
  </w:style>
  <w:style w:type="character" w:styleId="EntteCar" w:customStyle="1">
    <w:name w:val="En-tête Car"/>
    <w:basedOn w:val="DefaultParagraphFont"/>
    <w:link w:val="En-tte"/>
    <w:uiPriority w:val="99"/>
    <w:qFormat/>
    <w:rsid w:val="00d414cc"/>
    <w:rPr>
      <w:rFonts w:ascii="Calibri" w:hAnsi="Calibri" w:eastAsia="Calibri" w:cs="Times New Roman"/>
    </w:rPr>
  </w:style>
  <w:style w:type="character" w:styleId="PieddepageCar" w:customStyle="1">
    <w:name w:val="Pied de page Car"/>
    <w:basedOn w:val="DefaultParagraphFont"/>
    <w:link w:val="Pieddepage"/>
    <w:uiPriority w:val="99"/>
    <w:qFormat/>
    <w:rsid w:val="00d414cc"/>
    <w:rPr>
      <w:rFonts w:ascii="Calibri" w:hAnsi="Calibri" w:eastAsia="Calibri" w:cs="Times New Roman"/>
    </w:rPr>
  </w:style>
  <w:style w:type="character" w:styleId="Annotationreference">
    <w:name w:val="annotation reference"/>
    <w:basedOn w:val="DefaultParagraphFont"/>
    <w:uiPriority w:val="99"/>
    <w:semiHidden/>
    <w:unhideWhenUsed/>
    <w:qFormat/>
    <w:rsid w:val="008a0c63"/>
    <w:rPr>
      <w:sz w:val="16"/>
      <w:szCs w:val="16"/>
    </w:rPr>
  </w:style>
  <w:style w:type="character" w:styleId="CommentaireCar" w:customStyle="1">
    <w:name w:val="Commentaire Car"/>
    <w:basedOn w:val="DefaultParagraphFont"/>
    <w:link w:val="Commentaire"/>
    <w:uiPriority w:val="99"/>
    <w:semiHidden/>
    <w:qFormat/>
    <w:rsid w:val="008a0c63"/>
    <w:rPr>
      <w:rFonts w:ascii="Calibri" w:hAnsi="Calibri" w:eastAsia="Calibri" w:cs="Times New Roman"/>
      <w:sz w:val="20"/>
      <w:szCs w:val="20"/>
    </w:rPr>
  </w:style>
  <w:style w:type="character" w:styleId="ObjetducommentaireCar" w:customStyle="1">
    <w:name w:val="Objet du commentaire Car"/>
    <w:basedOn w:val="CommentaireCar"/>
    <w:link w:val="Objetducommentaire"/>
    <w:uiPriority w:val="99"/>
    <w:semiHidden/>
    <w:qFormat/>
    <w:rsid w:val="008a0c63"/>
    <w:rPr>
      <w:rFonts w:ascii="Calibri" w:hAnsi="Calibri" w:eastAsia="Calibri" w:cs="Times New Roman"/>
      <w:b/>
      <w:bCs/>
      <w:sz w:val="20"/>
      <w:szCs w:val="20"/>
    </w:rPr>
  </w:style>
  <w:style w:type="character" w:styleId="TextedebullesCar" w:customStyle="1">
    <w:name w:val="Texte de bulles Car"/>
    <w:basedOn w:val="DefaultParagraphFont"/>
    <w:link w:val="Textedebulles"/>
    <w:uiPriority w:val="99"/>
    <w:semiHidden/>
    <w:qFormat/>
    <w:rsid w:val="008a0c63"/>
    <w:rPr>
      <w:rFonts w:ascii="Segoe UI" w:hAnsi="Segoe UI" w:eastAsia="Calibri" w:cs="Segoe UI"/>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tandard" w:customStyle="1">
    <w:name w:val="Standard"/>
    <w:qFormat/>
    <w:rsid w:val="00d414cc"/>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2"/>
      <w:sz w:val="24"/>
      <w:szCs w:val="24"/>
      <w:lang w:eastAsia="fr-FR" w:val="fr-FR" w:bidi="ar-SA"/>
    </w:rPr>
  </w:style>
  <w:style w:type="paragraph" w:styleId="NormalWeb">
    <w:name w:val="Normal (Web)"/>
    <w:basedOn w:val="Normal"/>
    <w:qFormat/>
    <w:rsid w:val="00d414cc"/>
    <w:pPr>
      <w:spacing w:lineRule="auto" w:line="240" w:before="100" w:after="119"/>
    </w:pPr>
    <w:rPr>
      <w:rFonts w:ascii="Times New Roman" w:hAnsi="Times New Roman" w:eastAsia="Times New Roman"/>
      <w:sz w:val="24"/>
      <w:szCs w:val="24"/>
      <w:lang w:eastAsia="fr-FR"/>
    </w:rPr>
  </w:style>
  <w:style w:type="paragraph" w:styleId="Titreformulaire" w:customStyle="1">
    <w:name w:val="titre formulaire"/>
    <w:basedOn w:val="Titre7"/>
    <w:qFormat/>
    <w:rsid w:val="00d414cc"/>
    <w:pPr>
      <w:keepLines w:val="false"/>
      <w:spacing w:lineRule="auto" w:line="240" w:before="0" w:after="160"/>
      <w:jc w:val="both"/>
    </w:pPr>
    <w:rPr>
      <w:rFonts w:ascii="Tahoma" w:hAnsi="Tahoma" w:eastAsia="Times New Roman" w:cs="Times New Roman"/>
      <w:b/>
      <w:i w:val="false"/>
      <w:iCs w:val="false"/>
      <w:color w:val="FFFFFF"/>
      <w:sz w:val="20"/>
      <w:szCs w:val="20"/>
      <w:lang w:eastAsia="fr-FR"/>
    </w:rPr>
  </w:style>
  <w:style w:type="paragraph" w:styleId="Entte">
    <w:name w:val="Header"/>
    <w:basedOn w:val="Normal"/>
    <w:link w:val="En-tteCar"/>
    <w:uiPriority w:val="99"/>
    <w:unhideWhenUsed/>
    <w:rsid w:val="00d414cc"/>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d414cc"/>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CommentaireCar"/>
    <w:uiPriority w:val="99"/>
    <w:semiHidden/>
    <w:unhideWhenUsed/>
    <w:qFormat/>
    <w:rsid w:val="008a0c63"/>
    <w:pPr>
      <w:spacing w:lineRule="auto" w:line="240"/>
    </w:pPr>
    <w:rPr>
      <w:sz w:val="20"/>
      <w:szCs w:val="20"/>
    </w:rPr>
  </w:style>
  <w:style w:type="paragraph" w:styleId="Annotationsubject">
    <w:name w:val="annotation subject"/>
    <w:basedOn w:val="Annotationtext"/>
    <w:next w:val="Annotationtext"/>
    <w:link w:val="ObjetducommentaireCar"/>
    <w:uiPriority w:val="99"/>
    <w:semiHidden/>
    <w:unhideWhenUsed/>
    <w:qFormat/>
    <w:rsid w:val="008a0c63"/>
    <w:pPr/>
    <w:rPr>
      <w:b/>
      <w:bCs/>
    </w:rPr>
  </w:style>
  <w:style w:type="paragraph" w:styleId="BalloonText">
    <w:name w:val="Balloon Text"/>
    <w:basedOn w:val="Normal"/>
    <w:link w:val="TextedebullesCar"/>
    <w:uiPriority w:val="99"/>
    <w:semiHidden/>
    <w:unhideWhenUsed/>
    <w:qFormat/>
    <w:rsid w:val="008a0c63"/>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LibreOffice/6.1.6.3.M15$Windows_X86_64 LibreOffice_project/95438ce04607f41c3e15ad262432388b710622b2</Application>
  <Pages>2</Pages>
  <Words>508</Words>
  <Characters>2824</Characters>
  <CharactersWithSpaces>3559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2021-05-25T09:23:36Z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